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10570"/>
      </w:tblGrid>
      <w:tr>
        <w:tc>
          <w:tcPr>
            <w:tcW w:type="dxa" w:w="10570"/>
            <w:tcBorders>
              <w:top w:val="nil"/>
              <w:start w:val="nil"/>
              <w:bottom w:val="nil"/>
              <w:end w:val="nil"/>
              <w:insideH w:val="nil"/>
              <w:insideV w:val="nil"/>
            </w:tcBorders>
            <w:shd w:fill="1F292F" w:val="clear"/>
            <w:tcMar>
              <w:top w:w="250" w:type="dxa"/>
              <w:start w:w="260" w:type="dxa"/>
              <w:bottom w:w="245" w:type="dxa"/>
              <w:end w:w="260" w:type="dxa"/>
            </w:tcMar>
          </w:tcPr>
          <w:p>
            <w:pPr>
              <w:keepNext w:val="0"/>
              <w:spacing w:before="0" w:after="40" w:line="240" w:lineRule="auto"/>
            </w:pPr>
            <w:r>
              <w:rPr>
                <w:rFonts w:ascii="Inter" w:hAnsi="Inter" w:eastAsia="Inter"/>
                <w:b/>
                <w:color w:val="D8792D"/>
                <w:sz w:val="18"/>
              </w:rPr>
              <w:t>PROJECT URAEL</w:t>
            </w:r>
          </w:p>
          <w:p>
            <w:pPr>
              <w:keepNext w:val="0"/>
              <w:spacing w:before="0" w:after="120" w:line="221" w:lineRule="auto"/>
            </w:pPr>
            <w:r>
              <w:rPr>
                <w:rFonts w:ascii="Inter Display" w:hAnsi="Inter Display" w:eastAsia="Inter Display"/>
                <w:b/>
                <w:color w:val="FFFFFF"/>
                <w:sz w:val="58"/>
              </w:rPr>
              <w:t>LET SOMETHING</w:t>
              <w:br/>
              <w:t>ELSE GO FIRST.</w:t>
            </w:r>
          </w:p>
          <w:p>
            <w:pPr>
              <w:keepNext w:val="0"/>
              <w:spacing w:before="0" w:after="0" w:line="254" w:lineRule="auto"/>
            </w:pPr>
            <w:r>
              <w:rPr>
                <w:rFonts w:ascii="Inter" w:hAnsi="Inter" w:eastAsia="Inter"/>
                <w:b/>
                <w:color w:val="F4F0E7"/>
                <w:sz w:val="26"/>
              </w:rPr>
              <w:t>The courage is human. The blind exposure does not have to be.</w:t>
            </w:r>
          </w:p>
        </w:tc>
      </w:tr>
    </w:tbl>
    <w:p>
      <w:pPr>
        <w:keepNext w:val="0"/>
        <w:spacing w:before="160" w:after="140" w:line="278" w:lineRule="auto"/>
      </w:pPr>
      <w:r>
        <w:rPr>
          <w:rFonts w:ascii="Inter" w:hAnsi="Inter" w:eastAsia="Inter"/>
          <w:b/>
          <w:color w:val="1F292F"/>
          <w:sz w:val="23"/>
        </w:rPr>
        <w:t>Every day, firefighters, EMTs, paramedics, linemen, sanitation workers, search teams, and other essential crews enter scenes that are dark, unstable, contaminated, flooded, energized, violent, blocked, or simply unknown. Project Urael is being designed to take on the parts of that work that do not need a human body first.</w:t>
      </w:r>
    </w:p>
    <w:tbl>
      <w:tblPr>
        <w:tblW w:type="auto" w:w="0"/>
        <w:jc w:val="center"/>
        <w:tblLook w:firstColumn="1" w:firstRow="1" w:lastColumn="0" w:lastRow="0" w:noHBand="0" w:noVBand="1" w:val="04A0"/>
      </w:tblPr>
      <w:tblGrid>
        <w:gridCol w:w="3523"/>
        <w:gridCol w:w="3523"/>
        <w:gridCol w:w="3523"/>
      </w:tblGrid>
      <w:tr>
        <w:tc>
          <w:tcPr>
            <w:tcW w:type="dxa" w:w="3523"/>
            <w:tcBorders>
              <w:top w:val="single" w:sz="18" w:color="315E77"/>
              <w:start w:val="nil"/>
              <w:bottom w:val="nil"/>
              <w:end w:val="nil"/>
              <w:insideH w:val="nil"/>
              <w:insideV w:val="nil"/>
            </w:tcBorders>
            <w:shd w:fill="E8F0F3" w:val="clear"/>
            <w:tcMar>
              <w:top w:w="150" w:type="dxa"/>
              <w:start w:w="145" w:type="dxa"/>
              <w:bottom w:w="145" w:type="dxa"/>
              <w:end w:w="145" w:type="dxa"/>
            </w:tcMar>
            <w:vAlign w:val="center"/>
          </w:tcPr>
          <w:p>
            <w:pPr>
              <w:keepNext w:val="0"/>
              <w:spacing w:before="0" w:after="20" w:line="240" w:lineRule="auto"/>
              <w:jc w:val="center"/>
            </w:pPr>
            <w:r>
              <w:rPr>
                <w:rFonts w:ascii="Inter Display" w:hAnsi="Inter Display" w:eastAsia="Inter Display"/>
                <w:b/>
                <w:color w:val="315E77"/>
                <w:sz w:val="39"/>
              </w:rPr>
              <w:t>+90.5%</w:t>
            </w:r>
          </w:p>
          <w:p>
            <w:pPr>
              <w:keepNext w:val="0"/>
              <w:spacing w:before="0" w:after="20" w:line="247" w:lineRule="auto"/>
              <w:jc w:val="center"/>
            </w:pPr>
            <w:r>
              <w:rPr>
                <w:rFonts w:ascii="Inter" w:hAnsi="Inter" w:eastAsia="Inter"/>
                <w:b/>
                <w:color w:val="1F292F"/>
                <w:sz w:val="17"/>
              </w:rPr>
              <w:t>MORE FIRE-DEPARTMENT CALLS</w:t>
            </w:r>
          </w:p>
          <w:p>
            <w:pPr>
              <w:keepNext w:val="0"/>
              <w:spacing w:before="0" w:after="0" w:line="245" w:lineRule="auto"/>
              <w:jc w:val="center"/>
            </w:pPr>
            <w:r>
              <w:rPr>
                <w:rFonts w:ascii="Inter" w:hAnsi="Inter" w:eastAsia="Inter"/>
                <w:color w:val="667078"/>
                <w:sz w:val="13"/>
              </w:rPr>
              <w:t>2003 to 2024</w:t>
            </w:r>
          </w:p>
        </w:tc>
        <w:tc>
          <w:tcPr>
            <w:tcW w:type="dxa" w:w="3523"/>
            <w:tcBorders>
              <w:top w:val="single" w:sz="18" w:color="D8792D"/>
              <w:start w:val="nil"/>
              <w:bottom w:val="nil"/>
              <w:end w:val="nil"/>
              <w:insideH w:val="nil"/>
              <w:insideV w:val="nil"/>
            </w:tcBorders>
            <w:shd w:fill="F8EBDD" w:val="clear"/>
            <w:tcMar>
              <w:top w:w="150" w:type="dxa"/>
              <w:start w:w="145" w:type="dxa"/>
              <w:bottom w:w="145" w:type="dxa"/>
              <w:end w:w="145" w:type="dxa"/>
            </w:tcMar>
            <w:vAlign w:val="center"/>
          </w:tcPr>
          <w:p>
            <w:pPr>
              <w:keepNext w:val="0"/>
              <w:spacing w:before="0" w:after="20" w:line="240" w:lineRule="auto"/>
              <w:jc w:val="center"/>
            </w:pPr>
            <w:r>
              <w:rPr>
                <w:rFonts w:ascii="Inter Display" w:hAnsi="Inter Display" w:eastAsia="Inter Display"/>
                <w:b/>
                <w:color w:val="D8792D"/>
                <w:sz w:val="39"/>
              </w:rPr>
              <w:t>-20.6%</w:t>
            </w:r>
          </w:p>
          <w:p>
            <w:pPr>
              <w:keepNext w:val="0"/>
              <w:spacing w:before="0" w:after="20" w:line="247" w:lineRule="auto"/>
              <w:jc w:val="center"/>
            </w:pPr>
            <w:r>
              <w:rPr>
                <w:rFonts w:ascii="Inter" w:hAnsi="Inter" w:eastAsia="Inter"/>
                <w:b/>
                <w:color w:val="1F292F"/>
                <w:sz w:val="17"/>
              </w:rPr>
              <w:t>VOLUNTEER FIREFIGHTERS</w:t>
            </w:r>
          </w:p>
          <w:p>
            <w:pPr>
              <w:keepNext w:val="0"/>
              <w:spacing w:before="0" w:after="0" w:line="245" w:lineRule="auto"/>
              <w:jc w:val="center"/>
            </w:pPr>
            <w:r>
              <w:rPr>
                <w:rFonts w:ascii="Inter" w:hAnsi="Inter" w:eastAsia="Inter"/>
                <w:color w:val="667078"/>
                <w:sz w:val="13"/>
              </w:rPr>
              <w:t>2003 to 2023</w:t>
            </w:r>
          </w:p>
        </w:tc>
        <w:tc>
          <w:tcPr>
            <w:tcW w:type="dxa" w:w="3523"/>
            <w:tcBorders>
              <w:top w:val="single" w:sz="18" w:color="2F7478"/>
              <w:start w:val="nil"/>
              <w:bottom w:val="nil"/>
              <w:end w:val="nil"/>
              <w:insideH w:val="nil"/>
              <w:insideV w:val="nil"/>
            </w:tcBorders>
            <w:shd w:fill="E7F1F0" w:val="clear"/>
            <w:tcMar>
              <w:top w:w="150" w:type="dxa"/>
              <w:start w:w="145" w:type="dxa"/>
              <w:bottom w:w="145" w:type="dxa"/>
              <w:end w:w="145" w:type="dxa"/>
            </w:tcMar>
            <w:vAlign w:val="center"/>
          </w:tcPr>
          <w:p>
            <w:pPr>
              <w:keepNext w:val="0"/>
              <w:spacing w:before="0" w:after="20" w:line="240" w:lineRule="auto"/>
              <w:jc w:val="center"/>
            </w:pPr>
            <w:r>
              <w:rPr>
                <w:rFonts w:ascii="Inter Display" w:hAnsi="Inter Display" w:eastAsia="Inter Display"/>
                <w:b/>
                <w:color w:val="2F7478"/>
                <w:sz w:val="39"/>
              </w:rPr>
              <w:t>53,575</w:t>
            </w:r>
          </w:p>
          <w:p>
            <w:pPr>
              <w:keepNext w:val="0"/>
              <w:spacing w:before="0" w:after="20" w:line="247" w:lineRule="auto"/>
              <w:jc w:val="center"/>
            </w:pPr>
            <w:r>
              <w:rPr>
                <w:rFonts w:ascii="Inter" w:hAnsi="Inter" w:eastAsia="Inter"/>
                <w:b/>
                <w:color w:val="1F292F"/>
                <w:sz w:val="17"/>
              </w:rPr>
              <w:t>FIREFIGHTER INJURIES</w:t>
            </w:r>
          </w:p>
          <w:p>
            <w:pPr>
              <w:keepNext w:val="0"/>
              <w:spacing w:before="0" w:after="0" w:line="245" w:lineRule="auto"/>
              <w:jc w:val="center"/>
            </w:pPr>
            <w:r>
              <w:rPr>
                <w:rFonts w:ascii="Inter" w:hAnsi="Inter" w:eastAsia="Inter"/>
                <w:color w:val="667078"/>
                <w:sz w:val="13"/>
              </w:rPr>
              <w:t>Estimated in 2024</w:t>
            </w:r>
          </w:p>
        </w:tc>
      </w:tr>
    </w:tbl>
    <w:p>
      <w:pPr>
        <w:spacing w:after="0"/>
      </w:pPr>
    </w:p>
    <w:p>
      <w:pPr>
        <w:keepNext w:val="0"/>
        <w:spacing w:before="120" w:after="160" w:line="254" w:lineRule="auto"/>
        <w:jc w:val="center"/>
      </w:pPr>
      <w:r>
        <w:rPr>
          <w:rFonts w:ascii="Inter" w:hAnsi="Inter" w:eastAsia="Inter"/>
          <w:b/>
          <w:color w:val="A23A36"/>
          <w:sz w:val="17"/>
        </w:rPr>
        <w:t>In a prospective multistate EMS study, violence was documented on 0.86 of every 100 runs. Only 2.7 percent of those violent runs were also captured through official reporting channels.</w:t>
      </w:r>
    </w:p>
    <w:tbl>
      <w:tblPr>
        <w:tblW w:type="auto" w:w="0"/>
        <w:jc w:val="center"/>
        <w:tblLook w:firstColumn="1" w:firstRow="1" w:lastColumn="0" w:lastRow="0" w:noHBand="0" w:noVBand="1" w:val="04A0"/>
      </w:tblPr>
      <w:tblGrid>
        <w:gridCol w:w="10570"/>
      </w:tblGrid>
      <w:tr>
        <w:trPr>
          <w:cantSplit/>
        </w:trPr>
        <w:tc>
          <w:tcPr>
            <w:tcW w:type="dxa" w:w="10570"/>
            <w:tcBorders>
              <w:top w:val="nil"/>
              <w:start w:val="single" w:sz="20" w:color="D8792D"/>
              <w:bottom w:val="nil"/>
              <w:end w:val="nil"/>
              <w:insideH w:val="nil"/>
              <w:insideV w:val="nil"/>
            </w:tcBorders>
            <w:shd w:fill="F8EBDD" w:val="clear"/>
            <w:tcMar>
              <w:top w:w="170" w:type="dxa"/>
              <w:start w:w="220" w:type="dxa"/>
              <w:bottom w:w="170" w:type="dxa"/>
              <w:end w:w="220" w:type="dxa"/>
            </w:tcMar>
          </w:tcPr>
          <w:p>
            <w:pPr>
              <w:keepNext w:val="0"/>
              <w:spacing w:before="0" w:after="60" w:line="240" w:lineRule="auto"/>
            </w:pPr>
            <w:r>
              <w:rPr>
                <w:rFonts w:ascii="Inter" w:hAnsi="Inter" w:eastAsia="Inter"/>
                <w:b/>
                <w:color w:val="D8792D"/>
                <w:sz w:val="17"/>
              </w:rPr>
              <w:t>THE PROBLEM IS NOT COURAGE</w:t>
            </w:r>
          </w:p>
          <w:p>
            <w:pPr>
              <w:keepNext w:val="0"/>
              <w:spacing w:before="0" w:after="0" w:line="269" w:lineRule="auto"/>
            </w:pPr>
            <w:r>
              <w:rPr>
                <w:rFonts w:ascii="Inter Display" w:hAnsi="Inter Display" w:eastAsia="Inter Display"/>
                <w:b/>
                <w:color w:val="1F292F"/>
                <w:sz w:val="22"/>
              </w:rPr>
              <w:t>It is unnecessary exposure, preventable carrying, broken communications, and arriving at a dangerous scene with too little reliable information.</w:t>
            </w:r>
          </w:p>
        </w:tc>
      </w:tr>
    </w:tbl>
    <w:p>
      <w:pPr>
        <w:spacing w:after="0"/>
      </w:pPr>
    </w:p>
    <w:p>
      <w:pPr>
        <w:pStyle w:val="Heading1"/>
        <w:keepNext w:val="0"/>
        <w:spacing w:before="160" w:after="100" w:line="240" w:lineRule="auto"/>
      </w:pPr>
      <w:r>
        <w:t>DESIGNED TO HELP THE CREW</w:t>
      </w:r>
    </w:p>
    <w:tbl>
      <w:tblPr>
        <w:tblW w:type="auto" w:w="0"/>
        <w:jc w:val="center"/>
        <w:tblLook w:firstColumn="1" w:firstRow="1" w:lastColumn="0" w:lastRow="0" w:noHBand="0" w:noVBand="1" w:val="04A0"/>
      </w:tblPr>
      <w:tblGrid>
        <w:gridCol w:w="5285"/>
        <w:gridCol w:w="5285"/>
      </w:tblGrid>
      <w:tr>
        <w:tc>
          <w:tcPr>
            <w:tcW w:type="dxa" w:w="5285"/>
            <w:tcBorders>
              <w:top w:val="single" w:sz="16" w:color="315E77"/>
              <w:start w:val="nil"/>
              <w:bottom w:val="nil"/>
              <w:end w:val="nil"/>
              <w:insideH w:val="nil"/>
              <w:insideV w:val="nil"/>
            </w:tcBorders>
            <w:shd w:fill="E8F0F3" w:val="clear"/>
            <w:tcMar>
              <w:top w:w="145" w:type="dxa"/>
              <w:start w:w="165" w:type="dxa"/>
              <w:bottom w:w="145" w:type="dxa"/>
              <w:end w:w="165" w:type="dxa"/>
            </w:tcMar>
          </w:tcPr>
          <w:p>
            <w:pPr>
              <w:keepNext w:val="0"/>
              <w:spacing w:before="0" w:after="60" w:line="240" w:lineRule="auto"/>
            </w:pPr>
            <w:r>
              <w:rPr>
                <w:rFonts w:ascii="Inter" w:hAnsi="Inter" w:eastAsia="Inter"/>
                <w:b/>
                <w:color w:val="315E77"/>
                <w:sz w:val="18"/>
              </w:rPr>
              <w:t>LOOK FIRST</w:t>
            </w:r>
          </w:p>
          <w:p>
            <w:pPr>
              <w:keepNext w:val="0"/>
              <w:spacing w:before="0" w:after="0" w:line="257" w:lineRule="auto"/>
            </w:pPr>
            <w:r>
              <w:rPr>
                <w:rFonts w:ascii="Inter" w:hAnsi="Inter" w:eastAsia="Inter"/>
                <w:color w:val="22292D"/>
                <w:sz w:val="18"/>
              </w:rPr>
              <w:t>Assess routes, heat, smoke, water, debris, electrical danger, access, and communications before a person enters the unknown.</w:t>
            </w:r>
          </w:p>
        </w:tc>
        <w:tc>
          <w:tcPr>
            <w:tcW w:type="dxa" w:w="5285"/>
            <w:tcBorders>
              <w:top w:val="single" w:sz="16" w:color="D8792D"/>
              <w:start w:val="nil"/>
              <w:bottom w:val="nil"/>
              <w:end w:val="nil"/>
              <w:insideH w:val="nil"/>
              <w:insideV w:val="nil"/>
            </w:tcBorders>
            <w:shd w:fill="F8EBDD" w:val="clear"/>
            <w:tcMar>
              <w:top w:w="145" w:type="dxa"/>
              <w:start w:w="165" w:type="dxa"/>
              <w:bottom w:w="145" w:type="dxa"/>
              <w:end w:w="165" w:type="dxa"/>
            </w:tcMar>
          </w:tcPr>
          <w:p>
            <w:pPr>
              <w:keepNext w:val="0"/>
              <w:spacing w:before="0" w:after="60" w:line="240" w:lineRule="auto"/>
            </w:pPr>
            <w:r>
              <w:rPr>
                <w:rFonts w:ascii="Inter" w:hAnsi="Inter" w:eastAsia="Inter"/>
                <w:b/>
                <w:color w:val="D8792D"/>
                <w:sz w:val="18"/>
              </w:rPr>
              <w:t>CARRY THE LOAD</w:t>
            </w:r>
          </w:p>
          <w:p>
            <w:pPr>
              <w:keepNext w:val="0"/>
              <w:spacing w:before="0" w:after="0" w:line="257" w:lineRule="auto"/>
            </w:pPr>
            <w:r>
              <w:rPr>
                <w:rFonts w:ascii="Inter" w:hAnsi="Inter" w:eastAsia="Inter"/>
                <w:color w:val="22292D"/>
                <w:sz w:val="18"/>
              </w:rPr>
              <w:t>Move approved equipment and supplies, repeat low-risk carries, stage tools, and take weight off human backs.</w:t>
            </w:r>
          </w:p>
        </w:tc>
      </w:tr>
      <w:tr>
        <w:tc>
          <w:tcPr>
            <w:tcW w:type="dxa" w:w="5285"/>
            <w:tcBorders>
              <w:top w:val="single" w:sz="16" w:color="2F7478"/>
              <w:start w:val="nil"/>
              <w:bottom w:val="nil"/>
              <w:end w:val="nil"/>
              <w:insideH w:val="nil"/>
              <w:insideV w:val="nil"/>
            </w:tcBorders>
            <w:shd w:fill="E7F1F0" w:val="clear"/>
            <w:tcMar>
              <w:top w:w="145" w:type="dxa"/>
              <w:start w:w="165" w:type="dxa"/>
              <w:bottom w:w="145" w:type="dxa"/>
              <w:end w:w="165" w:type="dxa"/>
            </w:tcMar>
          </w:tcPr>
          <w:p>
            <w:pPr>
              <w:keepNext w:val="0"/>
              <w:spacing w:before="0" w:after="60" w:line="240" w:lineRule="auto"/>
            </w:pPr>
            <w:r>
              <w:rPr>
                <w:rFonts w:ascii="Inter" w:hAnsi="Inter" w:eastAsia="Inter"/>
                <w:b/>
                <w:color w:val="2F7478"/>
                <w:sz w:val="18"/>
              </w:rPr>
              <w:t>KEEP THE LINE OPEN</w:t>
            </w:r>
          </w:p>
          <w:p>
            <w:pPr>
              <w:keepNext w:val="0"/>
              <w:spacing w:before="0" w:after="0" w:line="257" w:lineRule="auto"/>
            </w:pPr>
            <w:r>
              <w:rPr>
                <w:rFonts w:ascii="Inter" w:hAnsi="Inter" w:eastAsia="Inter"/>
                <w:color w:val="22292D"/>
                <w:sz w:val="18"/>
              </w:rPr>
              <w:t>Maintain voice, text, video, or data relay when buildings, terrain, crowds, weather, or network loss break ordinary communications.</w:t>
            </w:r>
          </w:p>
        </w:tc>
        <w:tc>
          <w:tcPr>
            <w:tcW w:type="dxa" w:w="5285"/>
            <w:tcBorders>
              <w:top w:val="single" w:sz="16" w:color="6D7B59"/>
              <w:start w:val="nil"/>
              <w:bottom w:val="nil"/>
              <w:end w:val="nil"/>
              <w:insideH w:val="nil"/>
              <w:insideV w:val="nil"/>
            </w:tcBorders>
            <w:shd w:fill="EDF0E8" w:val="clear"/>
            <w:tcMar>
              <w:top w:w="145" w:type="dxa"/>
              <w:start w:w="165" w:type="dxa"/>
              <w:bottom w:w="145" w:type="dxa"/>
              <w:end w:w="165" w:type="dxa"/>
            </w:tcMar>
          </w:tcPr>
          <w:p>
            <w:pPr>
              <w:keepNext w:val="0"/>
              <w:spacing w:before="0" w:after="60" w:line="240" w:lineRule="auto"/>
            </w:pPr>
            <w:r>
              <w:rPr>
                <w:rFonts w:ascii="Inter" w:hAnsi="Inter" w:eastAsia="Inter"/>
                <w:b/>
                <w:color w:val="6D7B59"/>
                <w:sz w:val="18"/>
              </w:rPr>
              <w:t>MAKE THE SCENE LEGIBLE</w:t>
            </w:r>
          </w:p>
          <w:p>
            <w:pPr>
              <w:keepNext w:val="0"/>
              <w:spacing w:before="0" w:after="0" w:line="257" w:lineRule="auto"/>
            </w:pPr>
            <w:r>
              <w:rPr>
                <w:rFonts w:ascii="Inter" w:hAnsi="Inter" w:eastAsia="Inter"/>
                <w:color w:val="22292D"/>
                <w:sz w:val="18"/>
              </w:rPr>
              <w:t>Mark hazards, preserve responder access, illuminate exits, and turn scattered sensor data into a short, useful update.</w:t>
            </w:r>
          </w:p>
        </w:tc>
      </w:tr>
      <w:tr>
        <w:tc>
          <w:tcPr>
            <w:tcW w:type="dxa" w:w="5285"/>
            <w:tcBorders>
              <w:top w:val="single" w:sz="16" w:color="315E77"/>
              <w:start w:val="nil"/>
              <w:bottom w:val="nil"/>
              <w:end w:val="nil"/>
              <w:insideH w:val="nil"/>
              <w:insideV w:val="nil"/>
            </w:tcBorders>
            <w:shd w:fill="E8F0F3" w:val="clear"/>
            <w:tcMar>
              <w:top w:w="145" w:type="dxa"/>
              <w:start w:w="165" w:type="dxa"/>
              <w:bottom w:w="145" w:type="dxa"/>
              <w:end w:w="165" w:type="dxa"/>
            </w:tcMar>
          </w:tcPr>
          <w:p>
            <w:pPr>
              <w:keepNext w:val="0"/>
              <w:spacing w:before="0" w:after="60" w:line="240" w:lineRule="auto"/>
            </w:pPr>
            <w:r>
              <w:rPr>
                <w:rFonts w:ascii="Inter" w:hAnsi="Inter" w:eastAsia="Inter"/>
                <w:b/>
                <w:color w:val="315E77"/>
                <w:sz w:val="18"/>
              </w:rPr>
              <w:t>STAY USEFUL WHEN SYSTEMS FAIL</w:t>
            </w:r>
          </w:p>
          <w:p>
            <w:pPr>
              <w:keepNext w:val="0"/>
              <w:spacing w:before="0" w:after="0" w:line="257" w:lineRule="auto"/>
            </w:pPr>
            <w:r>
              <w:rPr>
                <w:rFonts w:ascii="Inter" w:hAnsi="Inter" w:eastAsia="Inter"/>
                <w:color w:val="22292D"/>
                <w:sz w:val="18"/>
              </w:rPr>
              <w:t>Operate locally, retain mission context, and degrade gracefully when the cloud, cellular service, or a central unit is unavailable.</w:t>
            </w:r>
          </w:p>
        </w:tc>
        <w:tc>
          <w:tcPr>
            <w:tcW w:type="dxa" w:w="5285"/>
            <w:tcBorders>
              <w:top w:val="single" w:sz="16" w:color="A23A36"/>
              <w:start w:val="nil"/>
              <w:bottom w:val="nil"/>
              <w:end w:val="nil"/>
              <w:insideH w:val="nil"/>
              <w:insideV w:val="nil"/>
            </w:tcBorders>
            <w:shd w:fill="F5E7E6" w:val="clear"/>
            <w:tcMar>
              <w:top w:w="145" w:type="dxa"/>
              <w:start w:w="165" w:type="dxa"/>
              <w:bottom w:w="145" w:type="dxa"/>
              <w:end w:w="165" w:type="dxa"/>
            </w:tcMar>
          </w:tcPr>
          <w:p>
            <w:pPr>
              <w:keepNext w:val="0"/>
              <w:spacing w:before="0" w:after="60" w:line="240" w:lineRule="auto"/>
            </w:pPr>
            <w:r>
              <w:rPr>
                <w:rFonts w:ascii="Inter" w:hAnsi="Inter" w:eastAsia="Inter"/>
                <w:b/>
                <w:color w:val="A23A36"/>
                <w:sz w:val="18"/>
              </w:rPr>
              <w:t>STOP AT THE BOUNDARY</w:t>
            </w:r>
          </w:p>
          <w:p>
            <w:pPr>
              <w:keepNext w:val="0"/>
              <w:spacing w:before="0" w:after="0" w:line="257" w:lineRule="auto"/>
            </w:pPr>
            <w:r>
              <w:rPr>
                <w:rFonts w:ascii="Inter" w:hAnsi="Inter" w:eastAsia="Inter"/>
                <w:color w:val="22292D"/>
                <w:sz w:val="18"/>
              </w:rPr>
              <w:t>No weapons. No policing. No pursuit. No autonomous invasive medicine. No routine population surveillance.</w:t>
            </w:r>
          </w:p>
        </w:tc>
      </w:tr>
    </w:tbl>
    <w:p>
      <w:pPr>
        <w:spacing w:after="0"/>
      </w:pPr>
    </w:p>
    <w:tbl>
      <w:tblPr>
        <w:tblW w:type="auto" w:w="0"/>
        <w:jc w:val="center"/>
        <w:tblLook w:firstColumn="1" w:firstRow="1" w:lastColumn="0" w:lastRow="0" w:noHBand="0" w:noVBand="1" w:val="04A0"/>
      </w:tblPr>
      <w:tblGrid>
        <w:gridCol w:w="10570"/>
      </w:tblGrid>
      <w:tr>
        <w:trPr>
          <w:cantSplit/>
        </w:trPr>
        <w:tc>
          <w:tcPr>
            <w:tcW w:type="dxa" w:w="10570"/>
            <w:tcBorders>
              <w:top w:val="nil"/>
              <w:start w:val="single" w:sz="20" w:color="D8792D"/>
              <w:bottom w:val="nil"/>
              <w:end w:val="nil"/>
              <w:insideH w:val="nil"/>
              <w:insideV w:val="nil"/>
            </w:tcBorders>
            <w:shd w:fill="1F292F" w:val="clear"/>
            <w:tcMar>
              <w:top w:w="110" w:type="dxa"/>
              <w:start w:w="205" w:type="dxa"/>
              <w:bottom w:w="110" w:type="dxa"/>
              <w:end w:w="205" w:type="dxa"/>
            </w:tcMar>
          </w:tcPr>
          <w:p>
            <w:pPr>
              <w:keepNext/>
              <w:spacing w:before="0" w:after="40" w:line="240" w:lineRule="auto"/>
            </w:pPr>
            <w:r>
              <w:rPr>
                <w:rFonts w:ascii="Inter" w:hAnsi="Inter" w:eastAsia="Inter"/>
                <w:b/>
                <w:color w:val="D8792D"/>
                <w:sz w:val="16"/>
              </w:rPr>
              <w:t>NON-NEGOTIABLE DOCTRINE</w:t>
            </w:r>
          </w:p>
          <w:p>
            <w:pPr>
              <w:keepNext w:val="0"/>
              <w:spacing w:before="0" w:after="0" w:line="250" w:lineRule="auto"/>
            </w:pPr>
            <w:r>
              <w:rPr>
                <w:rFonts w:ascii="Inter Display" w:hAnsi="Inter Display" w:eastAsia="Inter Display"/>
                <w:b/>
                <w:color w:val="FFFFFF"/>
                <w:sz w:val="19"/>
              </w:rPr>
              <w:t>Built beside the crew, never into the staffing formula. A Urael unit is support capacity, not a headcount excuse. Human responders keep command, clinical judgment, rescue decisions, and lawful authority.</w:t>
            </w:r>
          </w:p>
        </w:tc>
      </w:tr>
    </w:tbl>
    <w:p>
      <w:pPr>
        <w:spacing w:after="0"/>
      </w:pPr>
    </w:p>
    <w:p>
      <w:pPr>
        <w:keepNext w:val="0"/>
        <w:spacing w:before="0" w:after="60" w:line="240" w:lineRule="auto"/>
      </w:pPr>
      <w:r>
        <w:rPr>
          <w:rFonts w:ascii="Inter" w:hAnsi="Inter" w:eastAsia="Inter"/>
          <w:b/>
          <w:color w:val="D8792D"/>
          <w:sz w:val="17"/>
        </w:rPr>
        <w:t>WHAT SUCCESS IS MEANT TO LOOK LIKE</w:t>
      </w:r>
    </w:p>
    <w:p>
      <w:pPr>
        <w:keepNext w:val="0"/>
        <w:spacing w:before="0" w:after="140" w:line="250" w:lineRule="auto"/>
      </w:pPr>
      <w:r>
        <w:rPr>
          <w:rFonts w:ascii="Inter Display" w:hAnsi="Inter Display" w:eastAsia="Inter Display"/>
          <w:b/>
          <w:color w:val="1F292F"/>
          <w:sz w:val="47"/>
        </w:rPr>
        <w:t>MORE OF THEM COME HOME INTACT.</w:t>
      </w:r>
    </w:p>
    <w:p>
      <w:pPr>
        <w:keepNext w:val="0"/>
        <w:spacing w:before="0" w:after="140" w:line="274" w:lineRule="auto"/>
      </w:pPr>
      <w:r>
        <w:rPr>
          <w:rFonts w:ascii="Inter" w:hAnsi="Inter" w:eastAsia="Inter"/>
          <w:b/>
          <w:color w:val="667078"/>
          <w:sz w:val="22"/>
        </w:rPr>
        <w:t>The goal is not an impressive machine standing in front of a firehouse. The goal is practical subtraction: fewer blind steps, fewer unnecessary carries, fewer lost communications, fewer preventable exposures, and more responder attention available for the work only trained people can do.</w:t>
      </w:r>
    </w:p>
    <w:tbl>
      <w:tblPr>
        <w:tblW w:type="auto" w:w="0"/>
        <w:jc w:val="center"/>
        <w:tblLook w:firstColumn="1" w:firstRow="1" w:lastColumn="0" w:lastRow="0" w:noHBand="0" w:noVBand="1" w:val="04A0"/>
      </w:tblPr>
      <w:tblGrid>
        <w:gridCol w:w="5285"/>
        <w:gridCol w:w="5285"/>
      </w:tblGrid>
      <w:tr>
        <w:tc>
          <w:tcPr>
            <w:tcW w:type="dxa" w:w="792"/>
            <w:tcBorders>
              <w:top w:val="nil"/>
              <w:start w:val="nil"/>
              <w:bottom w:val="nil"/>
              <w:end w:val="nil"/>
              <w:insideH w:val="nil"/>
              <w:insideV w:val="nil"/>
            </w:tcBorders>
            <w:tcMar>
              <w:top w:w="95" w:type="dxa"/>
              <w:start w:w="80" w:type="dxa"/>
              <w:bottom w:w="95" w:type="dxa"/>
              <w:end w:w="80" w:type="dxa"/>
            </w:tcMar>
            <w:shd w:fill="1F292F" w:val="clear"/>
          </w:tcPr>
          <w:p>
            <w:pPr>
              <w:jc w:val="center"/>
            </w:pPr>
            <w:r>
              <w:rPr>
                <w:rFonts w:ascii="Inter Display" w:hAnsi="Inter Display" w:eastAsia="Inter Display"/>
                <w:b/>
                <w:color w:val="FFFFFF"/>
                <w:sz w:val="27"/>
              </w:rPr>
              <w:t>01</w:t>
            </w:r>
          </w:p>
        </w:tc>
        <w:tc>
          <w:tcPr>
            <w:tcW w:type="dxa" w:w="8928"/>
            <w:tcBorders>
              <w:top w:val="nil"/>
              <w:start w:val="nil"/>
              <w:bottom w:val="nil"/>
              <w:end w:val="nil"/>
              <w:insideH w:val="nil"/>
              <w:insideV w:val="nil"/>
            </w:tcBorders>
            <w:tcMar>
              <w:top w:w="95" w:type="dxa"/>
              <w:start w:w="120" w:type="dxa"/>
              <w:bottom w:w="95" w:type="dxa"/>
              <w:end w:w="120" w:type="dxa"/>
            </w:tcMar>
            <w:shd w:fill="F5F7F6" w:val="clear"/>
          </w:tcPr>
          <w:p>
            <w:r>
              <w:rPr>
                <w:rFonts w:ascii="Inter" w:hAnsi="Inter" w:eastAsia="Inter"/>
                <w:b/>
                <w:color w:val="1F292F"/>
                <w:sz w:val="20"/>
              </w:rPr>
              <w:t>A crew is warned about an energized line before stepping into standing water.</w:t>
            </w:r>
          </w:p>
        </w:tc>
      </w:tr>
      <w:tr>
        <w:tc>
          <w:tcPr>
            <w:tcW w:type="dxa" w:w="792"/>
            <w:tcBorders>
              <w:top w:val="nil"/>
              <w:start w:val="nil"/>
              <w:bottom w:val="nil"/>
              <w:end w:val="nil"/>
              <w:insideH w:val="nil"/>
              <w:insideV w:val="nil"/>
            </w:tcBorders>
            <w:tcMar>
              <w:top w:w="95" w:type="dxa"/>
              <w:start w:w="80" w:type="dxa"/>
              <w:bottom w:w="95" w:type="dxa"/>
              <w:end w:w="80" w:type="dxa"/>
            </w:tcMar>
            <w:shd w:fill="2F7478" w:val="clear"/>
          </w:tcPr>
          <w:p>
            <w:pPr>
              <w:jc w:val="center"/>
            </w:pPr>
            <w:r>
              <w:rPr>
                <w:rFonts w:ascii="Inter Display" w:hAnsi="Inter Display" w:eastAsia="Inter Display"/>
                <w:b/>
                <w:color w:val="FFFFFF"/>
                <w:sz w:val="27"/>
              </w:rPr>
              <w:t>02</w:t>
            </w:r>
          </w:p>
        </w:tc>
        <w:tc>
          <w:tcPr>
            <w:tcW w:type="dxa" w:w="8928"/>
            <w:tcBorders>
              <w:top w:val="nil"/>
              <w:start w:val="nil"/>
              <w:bottom w:val="nil"/>
              <w:end w:val="nil"/>
              <w:insideH w:val="nil"/>
              <w:insideV w:val="nil"/>
            </w:tcBorders>
            <w:tcMar>
              <w:top w:w="95" w:type="dxa"/>
              <w:start w:w="120" w:type="dxa"/>
              <w:bottom w:w="95" w:type="dxa"/>
              <w:end w:w="120" w:type="dxa"/>
            </w:tcMar>
            <w:shd w:fill="ECF4F3" w:val="clear"/>
          </w:tcPr>
          <w:p>
            <w:r>
              <w:rPr>
                <w:rFonts w:ascii="Inter" w:hAnsi="Inter" w:eastAsia="Inter"/>
                <w:b/>
                <w:color w:val="1F292F"/>
                <w:sz w:val="20"/>
              </w:rPr>
              <w:t>An EMT establishes calm two-way contact before walking within reach of an escalating patient.</w:t>
            </w:r>
          </w:p>
        </w:tc>
      </w:tr>
      <w:tr>
        <w:tc>
          <w:tcPr>
            <w:tcW w:type="dxa" w:w="792"/>
            <w:tcBorders>
              <w:top w:val="nil"/>
              <w:start w:val="nil"/>
              <w:bottom w:val="nil"/>
              <w:end w:val="nil"/>
              <w:insideH w:val="nil"/>
              <w:insideV w:val="nil"/>
            </w:tcBorders>
            <w:tcMar>
              <w:top w:w="95" w:type="dxa"/>
              <w:start w:w="80" w:type="dxa"/>
              <w:bottom w:w="95" w:type="dxa"/>
              <w:end w:w="80" w:type="dxa"/>
            </w:tcMar>
            <w:shd w:fill="1F292F" w:val="clear"/>
          </w:tcPr>
          <w:p>
            <w:pPr>
              <w:jc w:val="center"/>
            </w:pPr>
            <w:r>
              <w:rPr>
                <w:rFonts w:ascii="Inter Display" w:hAnsi="Inter Display" w:eastAsia="Inter Display"/>
                <w:b/>
                <w:color w:val="FFFFFF"/>
                <w:sz w:val="27"/>
              </w:rPr>
              <w:t>03</w:t>
            </w:r>
          </w:p>
        </w:tc>
        <w:tc>
          <w:tcPr>
            <w:tcW w:type="dxa" w:w="8928"/>
            <w:tcBorders>
              <w:top w:val="nil"/>
              <w:start w:val="nil"/>
              <w:bottom w:val="nil"/>
              <w:end w:val="nil"/>
              <w:insideH w:val="nil"/>
              <w:insideV w:val="nil"/>
            </w:tcBorders>
            <w:tcMar>
              <w:top w:w="95" w:type="dxa"/>
              <w:start w:w="120" w:type="dxa"/>
              <w:bottom w:w="95" w:type="dxa"/>
              <w:end w:w="120" w:type="dxa"/>
            </w:tcMar>
            <w:shd w:fill="F5F7F6" w:val="clear"/>
          </w:tcPr>
          <w:p>
            <w:r>
              <w:rPr>
                <w:rFonts w:ascii="Inter" w:hAnsi="Inter" w:eastAsia="Inter"/>
                <w:b/>
                <w:color w:val="1F292F"/>
                <w:sz w:val="20"/>
              </w:rPr>
              <w:t>Medical equipment, lighting, and supplies are staged at the correct entrance before the crew reaches it.</w:t>
            </w:r>
          </w:p>
        </w:tc>
      </w:tr>
      <w:tr>
        <w:tc>
          <w:tcPr>
            <w:tcW w:type="dxa" w:w="792"/>
            <w:tcBorders>
              <w:top w:val="nil"/>
              <w:start w:val="nil"/>
              <w:bottom w:val="nil"/>
              <w:end w:val="nil"/>
              <w:insideH w:val="nil"/>
              <w:insideV w:val="nil"/>
            </w:tcBorders>
            <w:tcMar>
              <w:top w:w="95" w:type="dxa"/>
              <w:start w:w="80" w:type="dxa"/>
              <w:bottom w:w="95" w:type="dxa"/>
              <w:end w:w="80" w:type="dxa"/>
            </w:tcMar>
            <w:shd w:fill="2F7478" w:val="clear"/>
          </w:tcPr>
          <w:p>
            <w:pPr>
              <w:jc w:val="center"/>
            </w:pPr>
            <w:r>
              <w:rPr>
                <w:rFonts w:ascii="Inter Display" w:hAnsi="Inter Display" w:eastAsia="Inter Display"/>
                <w:b/>
                <w:color w:val="FFFFFF"/>
                <w:sz w:val="27"/>
              </w:rPr>
              <w:t>04</w:t>
            </w:r>
          </w:p>
        </w:tc>
        <w:tc>
          <w:tcPr>
            <w:tcW w:type="dxa" w:w="8928"/>
            <w:tcBorders>
              <w:top w:val="nil"/>
              <w:start w:val="nil"/>
              <w:bottom w:val="nil"/>
              <w:end w:val="nil"/>
              <w:insideH w:val="nil"/>
              <w:insideV w:val="nil"/>
            </w:tcBorders>
            <w:tcMar>
              <w:top w:w="95" w:type="dxa"/>
              <w:start w:w="120" w:type="dxa"/>
              <w:bottom w:w="95" w:type="dxa"/>
              <w:end w:w="120" w:type="dxa"/>
            </w:tcMar>
            <w:shd w:fill="ECF4F3" w:val="clear"/>
          </w:tcPr>
          <w:p>
            <w:r>
              <w:rPr>
                <w:rFonts w:ascii="Inter" w:hAnsi="Inter" w:eastAsia="Inter"/>
                <w:b/>
                <w:color w:val="1F292F"/>
                <w:sz w:val="20"/>
              </w:rPr>
              <w:t>A fourth-floor response costs fewer human backs, leaving more strength for the patient.</w:t>
            </w:r>
          </w:p>
        </w:tc>
      </w:tr>
      <w:tr>
        <w:tc>
          <w:tcPr>
            <w:tcW w:type="dxa" w:w="792"/>
            <w:tcBorders>
              <w:top w:val="nil"/>
              <w:start w:val="nil"/>
              <w:bottom w:val="nil"/>
              <w:end w:val="nil"/>
              <w:insideH w:val="nil"/>
              <w:insideV w:val="nil"/>
            </w:tcBorders>
            <w:tcMar>
              <w:top w:w="95" w:type="dxa"/>
              <w:start w:w="80" w:type="dxa"/>
              <w:bottom w:w="95" w:type="dxa"/>
              <w:end w:w="80" w:type="dxa"/>
            </w:tcMar>
            <w:shd w:fill="1F292F" w:val="clear"/>
          </w:tcPr>
          <w:p>
            <w:pPr>
              <w:jc w:val="center"/>
            </w:pPr>
            <w:r>
              <w:rPr>
                <w:rFonts w:ascii="Inter Display" w:hAnsi="Inter Display" w:eastAsia="Inter Display"/>
                <w:b/>
                <w:color w:val="FFFFFF"/>
                <w:sz w:val="27"/>
              </w:rPr>
              <w:t>05</w:t>
            </w:r>
          </w:p>
        </w:tc>
        <w:tc>
          <w:tcPr>
            <w:tcW w:type="dxa" w:w="8928"/>
            <w:tcBorders>
              <w:top w:val="nil"/>
              <w:start w:val="nil"/>
              <w:bottom w:val="nil"/>
              <w:end w:val="nil"/>
              <w:insideH w:val="nil"/>
              <w:insideV w:val="nil"/>
            </w:tcBorders>
            <w:tcMar>
              <w:top w:w="95" w:type="dxa"/>
              <w:start w:w="120" w:type="dxa"/>
              <w:bottom w:w="95" w:type="dxa"/>
              <w:end w:w="120" w:type="dxa"/>
            </w:tcMar>
            <w:shd w:fill="F5F7F6" w:val="clear"/>
          </w:tcPr>
          <w:p>
            <w:r>
              <w:rPr>
                <w:rFonts w:ascii="Inter" w:hAnsi="Inter" w:eastAsia="Inter"/>
                <w:b/>
                <w:color w:val="1F292F"/>
                <w:sz w:val="20"/>
              </w:rPr>
              <w:t>A blocked approach is marked and an emergency lane is preserved before apparatus arrives.</w:t>
            </w:r>
          </w:p>
        </w:tc>
      </w:tr>
      <w:tr>
        <w:tc>
          <w:tcPr>
            <w:tcW w:type="dxa" w:w="792"/>
            <w:tcBorders>
              <w:top w:val="nil"/>
              <w:start w:val="nil"/>
              <w:bottom w:val="nil"/>
              <w:end w:val="nil"/>
              <w:insideH w:val="nil"/>
              <w:insideV w:val="nil"/>
            </w:tcBorders>
            <w:tcMar>
              <w:top w:w="95" w:type="dxa"/>
              <w:start w:w="80" w:type="dxa"/>
              <w:bottom w:w="95" w:type="dxa"/>
              <w:end w:w="80" w:type="dxa"/>
            </w:tcMar>
            <w:shd w:fill="2F7478" w:val="clear"/>
          </w:tcPr>
          <w:p>
            <w:pPr>
              <w:jc w:val="center"/>
            </w:pPr>
            <w:r>
              <w:rPr>
                <w:rFonts w:ascii="Inter Display" w:hAnsi="Inter Display" w:eastAsia="Inter Display"/>
                <w:b/>
                <w:color w:val="FFFFFF"/>
                <w:sz w:val="27"/>
              </w:rPr>
              <w:t>06</w:t>
            </w:r>
          </w:p>
        </w:tc>
        <w:tc>
          <w:tcPr>
            <w:tcW w:type="dxa" w:w="8928"/>
            <w:tcBorders>
              <w:top w:val="nil"/>
              <w:start w:val="nil"/>
              <w:bottom w:val="nil"/>
              <w:end w:val="nil"/>
              <w:insideH w:val="nil"/>
              <w:insideV w:val="nil"/>
            </w:tcBorders>
            <w:tcMar>
              <w:top w:w="95" w:type="dxa"/>
              <w:start w:w="120" w:type="dxa"/>
              <w:bottom w:w="95" w:type="dxa"/>
              <w:end w:w="120" w:type="dxa"/>
            </w:tcMar>
            <w:shd w:fill="ECF4F3" w:val="clear"/>
          </w:tcPr>
          <w:p>
            <w:r>
              <w:rPr>
                <w:rFonts w:ascii="Inter" w:hAnsi="Inter" w:eastAsia="Inter"/>
                <w:b/>
                <w:color w:val="1F292F"/>
                <w:sz w:val="20"/>
              </w:rPr>
              <w:t>Communications remain alive inside a dead zone, outage, damaged structure, or disaster corridor.</w:t>
            </w:r>
          </w:p>
        </w:tc>
      </w:tr>
    </w:tbl>
    <w:p>
      <w:pPr>
        <w:pStyle w:val="Heading2"/>
        <w:spacing w:before="200"/>
      </w:pPr>
      <w:r>
        <w:t>Built from the firehouse outward</w:t>
      </w:r>
    </w:p>
    <w:p>
      <w:pPr>
        <w:keepNext w:val="0"/>
        <w:spacing w:before="0" w:after="100" w:line="271" w:lineRule="auto"/>
      </w:pPr>
      <w:r>
        <w:rPr>
          <w:rFonts w:ascii="Inter" w:hAnsi="Inter" w:eastAsia="Inter"/>
          <w:i w:val="0"/>
          <w:color w:val="22292D"/>
          <w:sz w:val="20"/>
        </w:rPr>
        <w:t>We are seeking first-responder advisors, trainers, chiefs, labor representatives, medical directors, emergency managers, utility crews, sanitation workers, and pilot departments to define what this system must do, what it must never do, and how it earns trust under real operating conditions.</w:t>
      </w:r>
    </w:p>
    <w:p>
      <w:pPr>
        <w:keepNext w:val="0"/>
        <w:spacing w:before="0" w:after="120" w:line="271" w:lineRule="auto"/>
      </w:pPr>
      <w:r>
        <w:rPr>
          <w:rFonts w:ascii="Inter" w:hAnsi="Inter" w:eastAsia="Inter"/>
          <w:i w:val="0"/>
          <w:color w:val="22292D"/>
          <w:sz w:val="20"/>
        </w:rPr>
        <w:t>This should not be a technology demo brought to responders after the important decisions are already made. It should be a field-support standard shaped by the people who will stand beside it, rely on it, repair around it, and tell it when to stop.</w:t>
      </w:r>
    </w:p>
    <w:tbl>
      <w:tblPr>
        <w:tblW w:type="auto" w:w="0"/>
        <w:jc w:val="center"/>
        <w:tblLook w:firstColumn="1" w:firstRow="1" w:lastColumn="0" w:lastRow="0" w:noHBand="0" w:noVBand="1" w:val="04A0"/>
      </w:tblPr>
      <w:tblGrid>
        <w:gridCol w:w="10570"/>
      </w:tblGrid>
      <w:tr>
        <w:trPr>
          <w:cantSplit/>
        </w:trPr>
        <w:tc>
          <w:tcPr>
            <w:tcW w:type="dxa" w:w="10570"/>
            <w:tcBorders>
              <w:top w:val="nil"/>
              <w:start w:val="single" w:sz="20" w:color="2F7478"/>
              <w:bottom w:val="nil"/>
              <w:end w:val="nil"/>
              <w:insideH w:val="nil"/>
              <w:insideV w:val="nil"/>
            </w:tcBorders>
            <w:shd w:fill="E7F1F0" w:val="clear"/>
            <w:tcMar>
              <w:top w:w="170" w:type="dxa"/>
              <w:start w:w="220" w:type="dxa"/>
              <w:bottom w:w="170" w:type="dxa"/>
              <w:end w:w="220" w:type="dxa"/>
            </w:tcMar>
          </w:tcPr>
          <w:p>
            <w:pPr>
              <w:keepNext w:val="0"/>
              <w:spacing w:before="0" w:after="60" w:line="240" w:lineRule="auto"/>
            </w:pPr>
            <w:r>
              <w:rPr>
                <w:rFonts w:ascii="Inter" w:hAnsi="Inter" w:eastAsia="Inter"/>
                <w:b/>
                <w:color w:val="2F7478"/>
                <w:sz w:val="17"/>
              </w:rPr>
              <w:t>PROJECT URAEL</w:t>
            </w:r>
          </w:p>
          <w:p>
            <w:pPr>
              <w:keepNext w:val="0"/>
              <w:spacing w:before="0" w:after="0" w:line="269" w:lineRule="auto"/>
            </w:pPr>
            <w:r>
              <w:rPr>
                <w:rFonts w:ascii="Inter Display" w:hAnsi="Inter Display" w:eastAsia="Inter Display"/>
                <w:b/>
                <w:color w:val="1F292F"/>
                <w:sz w:val="24"/>
              </w:rPr>
              <w:t>Assistance without authority. Support without substitution. Technology built to help more responders go home intact.</w:t>
            </w:r>
          </w:p>
        </w:tc>
      </w:tr>
    </w:tbl>
    <w:p>
      <w:pPr>
        <w:spacing w:after="0"/>
      </w:pPr>
    </w:p>
    <w:p>
      <w:pPr>
        <w:keepNext w:val="0"/>
        <w:spacing w:before="60" w:after="120" w:line="252" w:lineRule="auto"/>
        <w:jc w:val="center"/>
      </w:pPr>
      <w:r>
        <w:rPr>
          <w:rFonts w:ascii="Inter" w:hAnsi="Inter" w:eastAsia="Inter"/>
          <w:b/>
          <w:color w:val="D8792D"/>
          <w:sz w:val="18"/>
        </w:rPr>
        <w:t>RESPONDER-LED DEVELOPMENT PARTNERS WANTED</w:t>
      </w:r>
    </w:p>
    <w:tbl>
      <w:tblPr>
        <w:tblW w:type="auto" w:w="0"/>
        <w:jc w:val="center"/>
        <w:tblLook w:firstColumn="1" w:firstRow="1" w:lastColumn="0" w:lastRow="0" w:noHBand="0" w:noVBand="1" w:val="04A0"/>
      </w:tblPr>
      <w:tblGrid>
        <w:gridCol w:w="10570"/>
      </w:tblGrid>
      <w:tr>
        <w:tc>
          <w:tcPr>
            <w:tcW w:type="dxa" w:w="10570"/>
            <w:tcBorders>
              <w:top w:val="nil"/>
              <w:start w:val="nil"/>
              <w:bottom w:val="nil"/>
              <w:end w:val="nil"/>
              <w:insideH w:val="nil"/>
              <w:insideV w:val="nil"/>
            </w:tcBorders>
            <w:shd w:fill="F0F2F1" w:val="clear"/>
            <w:tcMar>
              <w:top w:w="120" w:type="dxa"/>
              <w:start w:w="155" w:type="dxa"/>
              <w:bottom w:w="120" w:type="dxa"/>
              <w:end w:w="155" w:type="dxa"/>
            </w:tcMar>
          </w:tcPr>
          <w:p>
            <w:pPr>
              <w:keepNext w:val="0"/>
              <w:spacing w:before="0" w:after="60" w:line="240" w:lineRule="auto"/>
            </w:pPr>
            <w:r>
              <w:rPr>
                <w:rFonts w:ascii="Inter" w:hAnsi="Inter" w:eastAsia="Inter"/>
                <w:b/>
                <w:color w:val="1F292F"/>
                <w:sz w:val="15"/>
              </w:rPr>
              <w:t>EVIDENCE BEHIND THE NEED</w:t>
            </w:r>
          </w:p>
          <w:p>
            <w:pPr>
              <w:keepNext w:val="0"/>
              <w:spacing w:before="0" w:after="0" w:line="257" w:lineRule="auto"/>
            </w:pPr>
            <w:r>
              <w:rPr>
                <w:rFonts w:ascii="Inter" w:hAnsi="Inter" w:eastAsia="Inter"/>
                <w:color w:val="667078"/>
                <w:sz w:val="15"/>
              </w:rPr>
              <w:t>NFPA fire-department calls through 2024; NFPA firefighter counts through 2023; NFPA firefighter injuries for 2024; BLS firefighter and EMT/paramedic outlooks; NIOSH national EMS injury research; a 2025 prospective multistate EMS violence study; and NIST emergency-response robot performance research. Full citations, limitations, and calculations appear in the companion source brief.</w:t>
            </w:r>
          </w:p>
        </w:tc>
      </w:tr>
    </w:tbl>
    <w:p>
      <w:pPr>
        <w:keepNext w:val="0"/>
        <w:spacing w:before="100" w:after="0" w:line="250" w:lineRule="auto"/>
      </w:pPr>
      <w:r>
        <w:rPr>
          <w:rFonts w:ascii="Inter" w:hAnsi="Inter" w:eastAsia="Inter"/>
          <w:i/>
          <w:color w:val="667078"/>
          <w:sz w:val="15"/>
        </w:rPr>
        <w:t>Concept-stage notice: No safety outcome is promised. Capabilities require certification, testing, human command, privacy controls, and measurable stop conditions. This public brief intentionally excludes proprietary implementation details.</w:t>
      </w:r>
    </w:p>
    <w:sectPr w:rsidR="00FC693F" w:rsidRPr="0006063C" w:rsidSect="00034616">
      <w:headerReference w:type="default" r:id="rId9"/>
      <w:footerReference w:type="default" r:id="rId10"/>
      <w:pgSz w:w="12240" w:h="15840"/>
      <w:pgMar w:top="691" w:right="835" w:bottom="749" w:left="835"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jc w:val="center"/>
      <w:tblLook w:firstColumn="1" w:firstRow="1" w:lastColumn="0" w:lastRow="0" w:noHBand="0" w:noVBand="1" w:val="04A0"/>
    </w:tblPr>
    <w:tblGrid>
      <w:gridCol w:w="5040"/>
      <w:gridCol w:w="5040"/>
    </w:tblGrid>
    <w:tr>
      <w:tc>
        <w:tcPr>
          <w:tcW w:type="dxa" w:w="5040"/>
          <w:tcBorders>
            <w:top w:val="nil"/>
            <w:start w:val="nil"/>
            <w:bottom w:val="nil"/>
            <w:end w:val="nil"/>
            <w:insideH w:val="nil"/>
            <w:insideV w:val="nil"/>
          </w:tcBorders>
        </w:tcPr>
        <w:p>
          <w:pPr>
            <w:keepNext w:val="0"/>
            <w:spacing w:before="0" w:after="0" w:line="240" w:lineRule="auto"/>
          </w:pPr>
          <w:r>
            <w:rPr>
              <w:rFonts w:ascii="Inter" w:hAnsi="Inter" w:eastAsia="Inter"/>
              <w:b/>
              <w:color w:val="667078"/>
              <w:sz w:val="15"/>
            </w:rPr>
            <w:t>PROJECT URAEL  |  22 AUGUST 2026</w:t>
          </w:r>
        </w:p>
      </w:tc>
      <w:tc>
        <w:tcPr>
          <w:tcW w:type="dxa" w:w="5040"/>
          <w:tcBorders>
            <w:top w:val="nil"/>
            <w:start w:val="nil"/>
            <w:bottom w:val="nil"/>
            <w:end w:val="nil"/>
            <w:insideH w:val="nil"/>
            <w:insideV w:val="nil"/>
          </w:tcBorders>
        </w:tcPr>
        <w:p>
          <w:pPr>
            <w:jc w:val="right"/>
          </w:pPr>
          <w:r>
            <w:rPr>
              <w:rFonts w:ascii="Inter" w:hAnsi="Inter" w:eastAsia="Inter"/>
              <w:color w:val="667078"/>
              <w:sz w:val="16"/>
            </w:rPr>
            <w:fldChar w:fldCharType="begin"/>
            <w:instrText xml:space="preserve"> PAGE </w:instrTex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keepNext w:val="0"/>
      <w:spacing w:before="0" w:after="40" w:line="240" w:lineRule="auto"/>
      <w:jc w:val="left"/>
      <w:pBdr>
        <w:bottom w:val="single" w:sz="8" w:space="3" w:color="D8792D"/>
      </w:pBdr>
    </w:pPr>
    <w:r>
      <w:rPr>
        <w:rFonts w:ascii="Inter" w:hAnsi="Inter" w:eastAsia="Inter"/>
        <w:b/>
        <w:color w:val="1F292F"/>
        <w:sz w:val="16"/>
      </w:rPr>
      <w:t>FIRST-RESPONDER IMPACT BRIEF</w:t>
    </w:r>
    <w:r>
      <w:rPr>
        <w:rFonts w:ascii="Inter" w:hAnsi="Inter" w:eastAsia="Inter"/>
        <w:b/>
        <w:color w:val="D8792D"/>
        <w:sz w:val="15"/>
      </w:rPr>
      <w:t xml:space="preserve">   |   NON-PROPRIETARY IMPACT COPY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Inter" w:hAnsi="Inter"/>
      <w:color w:val="22292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00"/>
      <w:outlineLvl w:val="0"/>
    </w:pPr>
    <w:rPr>
      <w:rFonts w:asciiTheme="majorHAnsi" w:eastAsiaTheme="majorEastAsia" w:hAnsiTheme="majorHAnsi" w:cstheme="majorBidi" w:ascii="Inter Display" w:hAnsi="Inter Display"/>
      <w:b/>
      <w:bCs/>
      <w:color w:val="1F292F"/>
      <w:sz w:val="36"/>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Inter Display" w:hAnsi="Inter Display"/>
      <w:b/>
      <w:bCs/>
      <w:color w:val="2F7478"/>
      <w:sz w:val="25"/>
      <w:szCs w:val="26"/>
    </w:rPr>
  </w:style>
  <w:style w:type="paragraph" w:styleId="Heading3">
    <w:name w:val="heading 3"/>
    <w:basedOn w:val="Normal"/>
    <w:next w:val="Normal"/>
    <w:link w:val="Heading3Char"/>
    <w:uiPriority w:val="9"/>
    <w:unhideWhenUsed/>
    <w:qFormat/>
    <w:rsid w:val="00FC693F"/>
    <w:pPr>
      <w:keepNext/>
      <w:keepLines/>
      <w:spacing w:before="180" w:after="100"/>
      <w:outlineLvl w:val="2"/>
    </w:pPr>
    <w:rPr>
      <w:rFonts w:asciiTheme="majorHAnsi" w:eastAsiaTheme="majorEastAsia" w:hAnsiTheme="majorHAnsi" w:cstheme="majorBidi" w:ascii="Inter Display" w:hAnsi="Inter Display"/>
      <w:b/>
      <w:bCs/>
      <w:color w:val="D8792D"/>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180"/>
      <w:contextualSpacing/>
    </w:pPr>
    <w:rPr>
      <w:rFonts w:asciiTheme="majorHAnsi" w:eastAsiaTheme="majorEastAsia" w:hAnsiTheme="majorHAnsi" w:cstheme="majorBidi" w:ascii="Inter Display" w:hAnsi="Inter Display"/>
      <w:b/>
      <w:color w:val="1F292F"/>
      <w:spacing w:val="5"/>
      <w:kern w:val="28"/>
      <w:sz w:val="6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ind w:left="360" w:hanging="173"/>
      <w:contextualSpacing/>
    </w:pPr>
    <w:rPr>
      <w:rFonts w:ascii="Inter" w:hAnsi="Inter"/>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Urael: First-Responder Impact Brief</dc:title>
  <dc:subject>Public-facing impact brief for responder-led development and field-support partnership.</dc:subject>
  <dc:creator>Tony Collins</dc:creator>
  <cp:keywords>Project Urael; first responders; EMS; firefighters; responder safety; assistive field support</cp:keywords>
  <dc:description>Non-proprietary public and partner-facing brief.</dc:description>
  <cp:lastModifiedBy>Tony Collins</cp:lastModifiedBy>
  <cp:revision>1</cp:revision>
  <dcterms:created xsi:type="dcterms:W3CDTF">2013-12-23T23:15:00Z</dcterms:created>
  <dcterms:modified xsi:type="dcterms:W3CDTF">2013-12-23T23:15:00Z</dcterms:modified>
  <cp:category/>
</cp:coreProperties>
</file>