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280" w:after="60" w:line="240" w:lineRule="auto"/>
      </w:pPr>
      <w:r>
        <w:rPr>
          <w:rFonts w:ascii="Inter" w:hAnsi="Inter" w:eastAsia="Inter"/>
          <w:b/>
          <w:color w:val="D8792D"/>
          <w:sz w:val="17"/>
        </w:rPr>
        <w:t>PUBLIC / PARTNER-FACING SOURCE COMPANION</w:t>
      </w:r>
    </w:p>
    <w:p>
      <w:pPr>
        <w:keepNext w:val="0"/>
        <w:spacing w:before="0" w:after="80" w:line="228" w:lineRule="auto"/>
      </w:pPr>
      <w:r>
        <w:rPr>
          <w:rFonts w:ascii="Inter Display" w:hAnsi="Inter Display" w:eastAsia="Inter Display"/>
          <w:b/>
          <w:color w:val="2F7478"/>
          <w:sz w:val="30"/>
        </w:rPr>
        <w:t>PROJECT URAEL</w:t>
      </w:r>
    </w:p>
    <w:p>
      <w:pPr>
        <w:keepNext w:val="0"/>
        <w:spacing w:before="0" w:after="140" w:line="235" w:lineRule="auto"/>
      </w:pPr>
      <w:r>
        <w:rPr>
          <w:rFonts w:ascii="Inter Display" w:hAnsi="Inter Display" w:eastAsia="Inter Display"/>
          <w:b/>
          <w:color w:val="1F292F"/>
          <w:sz w:val="58"/>
        </w:rPr>
        <w:t>FIRST-RESPONDER</w:t>
        <w:br/>
        <w:t>NEED &amp; EVIDENCE BRIEF</w:t>
      </w:r>
    </w:p>
    <w:p>
      <w:pPr>
        <w:keepNext w:val="0"/>
        <w:spacing w:before="0" w:after="240" w:line="257" w:lineRule="auto"/>
      </w:pPr>
      <w:r>
        <w:rPr>
          <w:rFonts w:ascii="Inter" w:hAnsi="Inter" w:eastAsia="Inter"/>
          <w:b/>
          <w:color w:val="667078"/>
          <w:sz w:val="26"/>
        </w:rPr>
        <w:t>Why assistive field support is needed, what the evidence actually shows, and where a responder-led system could help.</w:t>
      </w:r>
    </w:p>
    <w:tbl>
      <w:tblPr>
        <w:tblW w:type="auto" w:w="0"/>
        <w:jc w:val="center"/>
        <w:tblLook w:firstColumn="1" w:firstRow="1" w:lastColumn="0" w:lastRow="0" w:noHBand="0" w:noVBand="1" w:val="04A0"/>
      </w:tblPr>
      <w:tblGrid>
        <w:gridCol w:w="10282"/>
      </w:tblGrid>
      <w:tr>
        <w:trPr>
          <w:cantSplit/>
        </w:trPr>
        <w:tc>
          <w:tcPr>
            <w:tcW w:type="dxa" w:w="10282"/>
            <w:tcBorders>
              <w:top w:val="nil"/>
              <w:start w:val="single" w:sz="20" w:color="D8792D"/>
              <w:bottom w:val="nil"/>
              <w:end w:val="nil"/>
              <w:insideH w:val="nil"/>
              <w:insideV w:val="nil"/>
            </w:tcBorders>
            <w:shd w:fill="F8EBDD" w:val="clear"/>
            <w:tcMar>
              <w:top w:w="170" w:type="dxa"/>
              <w:start w:w="220" w:type="dxa"/>
              <w:bottom w:w="170" w:type="dxa"/>
              <w:end w:w="220" w:type="dxa"/>
            </w:tcMar>
          </w:tcPr>
          <w:p>
            <w:pPr>
              <w:keepNext w:val="0"/>
              <w:spacing w:before="0" w:after="60" w:line="240" w:lineRule="auto"/>
            </w:pPr>
            <w:r>
              <w:rPr>
                <w:rFonts w:ascii="Inter" w:hAnsi="Inter" w:eastAsia="Inter"/>
                <w:b/>
                <w:color w:val="D8792D"/>
                <w:sz w:val="17"/>
              </w:rPr>
              <w:t>CORE POSITION</w:t>
            </w:r>
          </w:p>
          <w:p>
            <w:pPr>
              <w:keepNext w:val="0"/>
              <w:spacing w:before="0" w:after="0" w:line="269" w:lineRule="auto"/>
            </w:pPr>
            <w:r>
              <w:rPr>
                <w:rFonts w:ascii="Inter Display" w:hAnsi="Inter Display" w:eastAsia="Inter Display"/>
                <w:b/>
                <w:color w:val="1F292F"/>
                <w:sz w:val="24"/>
              </w:rPr>
              <w:t>The case is not that America has run out of responders. The case is that call demand, physical exposure, violence, replacement pressure, and information gaps are asking too much of the people we still have.</w:t>
            </w:r>
          </w:p>
        </w:tc>
      </w:tr>
    </w:tbl>
    <w:p>
      <w:pPr>
        <w:spacing w:after="0"/>
      </w:pPr>
    </w:p>
    <w:tbl>
      <w:tblPr>
        <w:tblW w:type="auto" w:w="0"/>
        <w:jc w:val="center"/>
        <w:tblLook w:firstColumn="1" w:firstRow="1" w:lastColumn="0" w:lastRow="0" w:noHBand="0" w:noVBand="1" w:val="04A0"/>
      </w:tblPr>
      <w:tblGrid>
        <w:gridCol w:w="2570"/>
        <w:gridCol w:w="2570"/>
        <w:gridCol w:w="2570"/>
        <w:gridCol w:w="2570"/>
      </w:tblGrid>
      <w:tr>
        <w:tc>
          <w:tcPr>
            <w:tcW w:type="dxa" w:w="2570"/>
            <w:tcBorders>
              <w:top w:val="single" w:sz="18" w:color="315E77"/>
              <w:start w:val="nil"/>
              <w:bottom w:val="nil"/>
              <w:end w:val="nil"/>
              <w:insideH w:val="nil"/>
              <w:insideV w:val="nil"/>
            </w:tcBorders>
            <w:shd w:fill="E8F0F3" w:val="clear"/>
            <w:tcMar>
              <w:top w:w="150" w:type="dxa"/>
              <w:start w:w="145" w:type="dxa"/>
              <w:bottom w:w="145" w:type="dxa"/>
              <w:end w:w="145" w:type="dxa"/>
            </w:tcMar>
            <w:vAlign w:val="center"/>
          </w:tcPr>
          <w:p>
            <w:pPr>
              <w:keepNext w:val="0"/>
              <w:spacing w:before="0" w:after="20" w:line="240" w:lineRule="auto"/>
              <w:jc w:val="center"/>
            </w:pPr>
            <w:r>
              <w:rPr>
                <w:rFonts w:ascii="Inter Display" w:hAnsi="Inter Display" w:eastAsia="Inter Display"/>
                <w:b/>
                <w:color w:val="315E77"/>
                <w:sz w:val="39"/>
              </w:rPr>
              <w:t>+90.5%</w:t>
            </w:r>
          </w:p>
          <w:p>
            <w:pPr>
              <w:keepNext w:val="0"/>
              <w:spacing w:before="0" w:after="20" w:line="247" w:lineRule="auto"/>
              <w:jc w:val="center"/>
            </w:pPr>
            <w:r>
              <w:rPr>
                <w:rFonts w:ascii="Inter" w:hAnsi="Inter" w:eastAsia="Inter"/>
                <w:b/>
                <w:color w:val="1F292F"/>
                <w:sz w:val="17"/>
              </w:rPr>
              <w:t>FIRE-DEPARTMENT CALLS</w:t>
            </w:r>
          </w:p>
          <w:p>
            <w:pPr>
              <w:keepNext w:val="0"/>
              <w:spacing w:before="0" w:after="0" w:line="245" w:lineRule="auto"/>
              <w:jc w:val="center"/>
            </w:pPr>
            <w:r>
              <w:rPr>
                <w:rFonts w:ascii="Inter" w:hAnsi="Inter" w:eastAsia="Inter"/>
                <w:color w:val="667078"/>
                <w:sz w:val="13"/>
              </w:rPr>
              <w:t>2003 to 2024</w:t>
            </w:r>
          </w:p>
        </w:tc>
        <w:tc>
          <w:tcPr>
            <w:tcW w:type="dxa" w:w="2570"/>
            <w:tcBorders>
              <w:top w:val="single" w:sz="18" w:color="D8792D"/>
              <w:start w:val="nil"/>
              <w:bottom w:val="nil"/>
              <w:end w:val="nil"/>
              <w:insideH w:val="nil"/>
              <w:insideV w:val="nil"/>
            </w:tcBorders>
            <w:shd w:fill="F8EBDD" w:val="clear"/>
            <w:tcMar>
              <w:top w:w="150" w:type="dxa"/>
              <w:start w:w="145" w:type="dxa"/>
              <w:bottom w:w="145" w:type="dxa"/>
              <w:end w:w="145" w:type="dxa"/>
            </w:tcMar>
            <w:vAlign w:val="center"/>
          </w:tcPr>
          <w:p>
            <w:pPr>
              <w:keepNext w:val="0"/>
              <w:spacing w:before="0" w:after="20" w:line="240" w:lineRule="auto"/>
              <w:jc w:val="center"/>
            </w:pPr>
            <w:r>
              <w:rPr>
                <w:rFonts w:ascii="Inter Display" w:hAnsi="Inter Display" w:eastAsia="Inter Display"/>
                <w:b/>
                <w:color w:val="D8792D"/>
                <w:sz w:val="39"/>
              </w:rPr>
              <w:t>-20.6%</w:t>
            </w:r>
          </w:p>
          <w:p>
            <w:pPr>
              <w:keepNext w:val="0"/>
              <w:spacing w:before="0" w:after="20" w:line="247" w:lineRule="auto"/>
              <w:jc w:val="center"/>
            </w:pPr>
            <w:r>
              <w:rPr>
                <w:rFonts w:ascii="Inter" w:hAnsi="Inter" w:eastAsia="Inter"/>
                <w:b/>
                <w:color w:val="1F292F"/>
                <w:sz w:val="17"/>
              </w:rPr>
              <w:t>VOLUNTEER FIREFIGHTERS</w:t>
            </w:r>
          </w:p>
          <w:p>
            <w:pPr>
              <w:keepNext w:val="0"/>
              <w:spacing w:before="0" w:after="0" w:line="245" w:lineRule="auto"/>
              <w:jc w:val="center"/>
            </w:pPr>
            <w:r>
              <w:rPr>
                <w:rFonts w:ascii="Inter" w:hAnsi="Inter" w:eastAsia="Inter"/>
                <w:color w:val="667078"/>
                <w:sz w:val="13"/>
              </w:rPr>
              <w:t>2003 to 2023</w:t>
            </w:r>
          </w:p>
        </w:tc>
        <w:tc>
          <w:tcPr>
            <w:tcW w:type="dxa" w:w="2570"/>
            <w:tcBorders>
              <w:top w:val="single" w:sz="18" w:color="2F7478"/>
              <w:start w:val="nil"/>
              <w:bottom w:val="nil"/>
              <w:end w:val="nil"/>
              <w:insideH w:val="nil"/>
              <w:insideV w:val="nil"/>
            </w:tcBorders>
            <w:shd w:fill="E7F1F0" w:val="clear"/>
            <w:tcMar>
              <w:top w:w="150" w:type="dxa"/>
              <w:start w:w="145" w:type="dxa"/>
              <w:bottom w:w="145" w:type="dxa"/>
              <w:end w:w="145" w:type="dxa"/>
            </w:tcMar>
            <w:vAlign w:val="center"/>
          </w:tcPr>
          <w:p>
            <w:pPr>
              <w:keepNext w:val="0"/>
              <w:spacing w:before="0" w:after="20" w:line="240" w:lineRule="auto"/>
              <w:jc w:val="center"/>
            </w:pPr>
            <w:r>
              <w:rPr>
                <w:rFonts w:ascii="Inter Display" w:hAnsi="Inter Display" w:eastAsia="Inter Display"/>
                <w:b/>
                <w:color w:val="2F7478"/>
                <w:sz w:val="39"/>
              </w:rPr>
              <w:t>53,575</w:t>
            </w:r>
          </w:p>
          <w:p>
            <w:pPr>
              <w:keepNext w:val="0"/>
              <w:spacing w:before="0" w:after="20" w:line="247" w:lineRule="auto"/>
              <w:jc w:val="center"/>
            </w:pPr>
            <w:r>
              <w:rPr>
                <w:rFonts w:ascii="Inter" w:hAnsi="Inter" w:eastAsia="Inter"/>
                <w:b/>
                <w:color w:val="1F292F"/>
                <w:sz w:val="17"/>
              </w:rPr>
              <w:t>FIREFIGHTER INJURIES</w:t>
            </w:r>
          </w:p>
          <w:p>
            <w:pPr>
              <w:keepNext w:val="0"/>
              <w:spacing w:before="0" w:after="0" w:line="245" w:lineRule="auto"/>
              <w:jc w:val="center"/>
            </w:pPr>
            <w:r>
              <w:rPr>
                <w:rFonts w:ascii="Inter" w:hAnsi="Inter" w:eastAsia="Inter"/>
                <w:color w:val="667078"/>
                <w:sz w:val="13"/>
              </w:rPr>
              <w:t>Estimated in 2024</w:t>
            </w:r>
          </w:p>
        </w:tc>
        <w:tc>
          <w:tcPr>
            <w:tcW w:type="dxa" w:w="2570"/>
            <w:tcBorders>
              <w:top w:val="single" w:sz="18" w:color="A23A36"/>
              <w:start w:val="nil"/>
              <w:bottom w:val="nil"/>
              <w:end w:val="nil"/>
              <w:insideH w:val="nil"/>
              <w:insideV w:val="nil"/>
            </w:tcBorders>
            <w:shd w:fill="ECEFED" w:val="clear"/>
            <w:tcMar>
              <w:top w:w="150" w:type="dxa"/>
              <w:start w:w="145" w:type="dxa"/>
              <w:bottom w:w="145" w:type="dxa"/>
              <w:end w:w="145" w:type="dxa"/>
            </w:tcMar>
            <w:vAlign w:val="center"/>
          </w:tcPr>
          <w:p>
            <w:pPr>
              <w:keepNext w:val="0"/>
              <w:spacing w:before="0" w:after="20" w:line="240" w:lineRule="auto"/>
              <w:jc w:val="center"/>
            </w:pPr>
            <w:r>
              <w:rPr>
                <w:rFonts w:ascii="Inter Display" w:hAnsi="Inter Display" w:eastAsia="Inter Display"/>
                <w:b/>
                <w:color w:val="A23A36"/>
                <w:sz w:val="39"/>
              </w:rPr>
              <w:t>0.86 / 100</w:t>
            </w:r>
          </w:p>
          <w:p>
            <w:pPr>
              <w:keepNext w:val="0"/>
              <w:spacing w:before="0" w:after="20" w:line="247" w:lineRule="auto"/>
              <w:jc w:val="center"/>
            </w:pPr>
            <w:r>
              <w:rPr>
                <w:rFonts w:ascii="Inter" w:hAnsi="Inter" w:eastAsia="Inter"/>
                <w:b/>
                <w:color w:val="1F292F"/>
                <w:sz w:val="17"/>
              </w:rPr>
              <w:t>EMS RUNS WITH VIOLENCE</w:t>
            </w:r>
          </w:p>
          <w:p>
            <w:pPr>
              <w:keepNext w:val="0"/>
              <w:spacing w:before="0" w:after="0" w:line="245" w:lineRule="auto"/>
              <w:jc w:val="center"/>
            </w:pPr>
            <w:r>
              <w:rPr>
                <w:rFonts w:ascii="Inter" w:hAnsi="Inter" w:eastAsia="Inter"/>
                <w:color w:val="667078"/>
                <w:sz w:val="13"/>
              </w:rPr>
              <w:t>Prospective multistate study</w:t>
            </w:r>
          </w:p>
        </w:tc>
      </w:tr>
    </w:tbl>
    <w:p>
      <w:pPr>
        <w:spacing w:after="0"/>
      </w:pPr>
    </w:p>
    <w:p>
      <w:pPr>
        <w:keepNext w:val="0"/>
        <w:spacing w:before="160" w:after="60" w:line="264" w:lineRule="auto"/>
      </w:pPr>
      <w:r>
        <w:rPr>
          <w:rFonts w:ascii="Inter" w:hAnsi="Inter" w:eastAsia="Inter"/>
          <w:b/>
          <w:color w:val="667078"/>
          <w:sz w:val="17"/>
        </w:rPr>
        <w:t>Prepared 22 August 2026  |  Version 1.0  |  Non-proprietary summary</w:t>
      </w:r>
    </w:p>
    <w:p>
      <w:pPr>
        <w:keepNext w:val="0"/>
        <w:spacing w:before="0" w:after="0" w:line="259" w:lineRule="auto"/>
      </w:pPr>
      <w:r>
        <w:rPr>
          <w:rFonts w:ascii="Inter" w:hAnsi="Inter" w:eastAsia="Inter"/>
          <w:i/>
          <w:color w:val="667078"/>
          <w:sz w:val="16"/>
        </w:rPr>
        <w:t>Concept-stage notice: Project Urael has not yet demonstrated field efficacy. Every proposed capability requires engineering validation, certification, responder-led testing, legal review, and measurable stop conditions.</w:t>
      </w:r>
    </w:p>
    <w:p>
      <w:r>
        <w:br w:type="page"/>
      </w:r>
    </w:p>
    <w:p>
      <w:pPr>
        <w:keepNext/>
        <w:spacing w:before="0" w:after="60" w:line="240" w:lineRule="auto"/>
      </w:pPr>
      <w:r>
        <w:rPr>
          <w:rFonts w:ascii="Inter" w:hAnsi="Inter" w:eastAsia="Inter"/>
          <w:b/>
          <w:color w:val="2F7478"/>
          <w:sz w:val="17"/>
        </w:rPr>
        <w:t>WHAT THE EVIDENCE SAYS</w:t>
      </w:r>
    </w:p>
    <w:p>
      <w:pPr>
        <w:pStyle w:val="Heading1"/>
        <w:keepNext/>
      </w:pPr>
      <w:r>
        <w:rPr>
          <w:rFonts w:ascii="Inter Display" w:hAnsi="Inter Display" w:eastAsia="Inter Display"/>
          <w:b/>
          <w:color w:val="1F292F"/>
          <w:sz w:val="36"/>
        </w:rPr>
        <w:t>Executive finding</w:t>
      </w:r>
    </w:p>
    <w:p>
      <w:pPr>
        <w:keepNext w:val="0"/>
        <w:spacing w:before="0" w:after="110" w:line="271" w:lineRule="auto"/>
      </w:pPr>
      <w:r>
        <w:rPr>
          <w:rFonts w:ascii="Inter" w:hAnsi="Inter" w:eastAsia="Inter"/>
          <w:i w:val="0"/>
          <w:color w:val="22292D"/>
          <w:sz w:val="20"/>
        </w:rPr>
        <w:t>The strongest national evidence does not support a simple claim that career fire or paid EMS employment has collapsed. It supports a more useful conclusion: the United States has a documented workload-capacity mismatch, a major decline in volunteer fire capacity, large recurring replacement needs, high occupational injury rates, and persistent violence against EMS personnel. Those pressures justify serious work on tools that reduce preventable exposure and return responder time to care, rescue, command, and restoration.</w:t>
      </w:r>
      <w:r>
        <w:rPr>
          <w:rFonts w:ascii="Inter" w:hAnsi="Inter" w:eastAsia="Inter"/>
          <w:b/>
          <w:color w:val="315E77"/>
          <w:sz w:val="16"/>
        </w:rPr>
        <w:t xml:space="preserve"> [1][2][3][4][5][6][7][8]</w:t>
      </w:r>
    </w:p>
    <w:tbl>
      <w:tblPr>
        <w:tblW w:type="auto" w:w="0"/>
        <w:jc w:val="center"/>
        <w:tblLook w:firstColumn="1" w:firstRow="1" w:lastColumn="0" w:lastRow="0" w:noHBand="0" w:noVBand="1" w:val="04A0"/>
      </w:tblPr>
      <w:tblGrid>
        <w:gridCol w:w="10282"/>
      </w:tblGrid>
      <w:tr>
        <w:trPr>
          <w:cantSplit/>
        </w:trPr>
        <w:tc>
          <w:tcPr>
            <w:tcW w:type="dxa" w:w="10282"/>
            <w:tcBorders>
              <w:top w:val="nil"/>
              <w:start w:val="single" w:sz="20" w:color="2F7478"/>
              <w:bottom w:val="nil"/>
              <w:end w:val="nil"/>
              <w:insideH w:val="nil"/>
              <w:insideV w:val="nil"/>
            </w:tcBorders>
            <w:shd w:fill="E7F1F0" w:val="clear"/>
            <w:tcMar>
              <w:top w:w="170" w:type="dxa"/>
              <w:start w:w="220" w:type="dxa"/>
              <w:bottom w:w="170" w:type="dxa"/>
              <w:end w:w="220" w:type="dxa"/>
            </w:tcMar>
          </w:tcPr>
          <w:p>
            <w:pPr>
              <w:keepNext w:val="0"/>
              <w:spacing w:before="0" w:after="60" w:line="240" w:lineRule="auto"/>
            </w:pPr>
            <w:r>
              <w:rPr>
                <w:rFonts w:ascii="Inter" w:hAnsi="Inter" w:eastAsia="Inter"/>
                <w:b/>
                <w:color w:val="2F7478"/>
                <w:sz w:val="17"/>
              </w:rPr>
              <w:t>THE HONEST NEED STATEMENT</w:t>
            </w:r>
          </w:p>
          <w:p>
            <w:pPr>
              <w:keepNext w:val="0"/>
              <w:spacing w:before="0" w:after="0" w:line="269" w:lineRule="auto"/>
            </w:pPr>
            <w:r>
              <w:rPr>
                <w:rFonts w:ascii="Inter Display" w:hAnsi="Inter Display" w:eastAsia="Inter Display"/>
                <w:b/>
                <w:color w:val="1F292F"/>
                <w:sz w:val="22"/>
              </w:rPr>
              <w:t>More calls. Fewer volunteers. High injury burden. Persistent violence. Human judgment remains indispensable, but human bodies should not be the default sensor, cargo platform, communications relay, and first object exposed to every unknown scene.</w:t>
            </w:r>
          </w:p>
        </w:tc>
      </w:tr>
    </w:tbl>
    <w:p>
      <w:pPr>
        <w:spacing w:after="0"/>
      </w:pPr>
    </w:p>
    <w:p>
      <w:pPr>
        <w:pStyle w:val="Heading2"/>
      </w:pPr>
      <w:r>
        <w:t>Twenty-year pressure snapshot</w:t>
      </w:r>
    </w:p>
    <w:tbl>
      <w:tblPr>
        <w:tblStyle w:val="TableGrid"/>
        <w:tblW w:type="auto" w:w="0"/>
        <w:jc w:val="center"/>
        <w:tblLook w:firstColumn="1" w:firstRow="1" w:lastColumn="0" w:lastRow="0" w:noHBand="0" w:noVBand="1" w:val="04A0"/>
      </w:tblPr>
      <w:tblGrid>
        <w:gridCol w:w="2570"/>
        <w:gridCol w:w="2570"/>
        <w:gridCol w:w="2570"/>
        <w:gridCol w:w="2570"/>
      </w:tblGrid>
      <w:tr>
        <w:trPr>
          <w:tblHeader w:val="true"/>
        </w:trPr>
        <w:tc>
          <w:tcPr>
            <w:tcW w:type="dxa" w:w="3671"/>
            <w:shd w:fill="1F292F" w:val="clear"/>
            <w:tcMar>
              <w:top w:w="90" w:type="dxa"/>
              <w:start w:w="100" w:type="dxa"/>
              <w:bottom w:w="90" w:type="dxa"/>
              <w:end w:w="100" w:type="dxa"/>
            </w:tcMar>
          </w:tcPr>
          <w:p>
            <w:r>
              <w:rPr>
                <w:rFonts w:ascii="Inter" w:hAnsi="Inter" w:eastAsia="Inter"/>
                <w:b/>
                <w:color w:val="FFFFFF"/>
                <w:sz w:val="16"/>
              </w:rPr>
              <w:t>INDICATOR</w:t>
            </w:r>
          </w:p>
        </w:tc>
        <w:tc>
          <w:tcPr>
            <w:tcW w:type="dxa" w:w="2088"/>
            <w:shd w:fill="1F292F" w:val="clear"/>
            <w:tcMar>
              <w:top w:w="90" w:type="dxa"/>
              <w:start w:w="100" w:type="dxa"/>
              <w:bottom w:w="90" w:type="dxa"/>
              <w:end w:w="100" w:type="dxa"/>
            </w:tcMar>
          </w:tcPr>
          <w:p>
            <w:r>
              <w:rPr>
                <w:rFonts w:ascii="Inter" w:hAnsi="Inter" w:eastAsia="Inter"/>
                <w:b/>
                <w:color w:val="FFFFFF"/>
                <w:sz w:val="16"/>
              </w:rPr>
              <w:t>EARLIER POINT</w:t>
            </w:r>
          </w:p>
        </w:tc>
        <w:tc>
          <w:tcPr>
            <w:tcW w:type="dxa" w:w="2088"/>
            <w:shd w:fill="1F292F" w:val="clear"/>
            <w:tcMar>
              <w:top w:w="90" w:type="dxa"/>
              <w:start w:w="100" w:type="dxa"/>
              <w:bottom w:w="90" w:type="dxa"/>
              <w:end w:w="100" w:type="dxa"/>
            </w:tcMar>
          </w:tcPr>
          <w:p>
            <w:r>
              <w:rPr>
                <w:rFonts w:ascii="Inter" w:hAnsi="Inter" w:eastAsia="Inter"/>
                <w:b/>
                <w:color w:val="FFFFFF"/>
                <w:sz w:val="16"/>
              </w:rPr>
              <w:t>LATEST POINT</w:t>
            </w:r>
          </w:p>
        </w:tc>
        <w:tc>
          <w:tcPr>
            <w:tcW w:type="dxa" w:w="1655"/>
            <w:shd w:fill="1F292F" w:val="clear"/>
            <w:tcMar>
              <w:top w:w="90" w:type="dxa"/>
              <w:start w:w="100" w:type="dxa"/>
              <w:bottom w:w="90" w:type="dxa"/>
              <w:end w:w="100" w:type="dxa"/>
            </w:tcMar>
          </w:tcPr>
          <w:p>
            <w:r>
              <w:rPr>
                <w:rFonts w:ascii="Inter" w:hAnsi="Inter" w:eastAsia="Inter"/>
                <w:b/>
                <w:color w:val="FFFFFF"/>
                <w:sz w:val="16"/>
              </w:rPr>
              <w:t>CHANGE</w:t>
            </w:r>
          </w:p>
        </w:tc>
      </w:tr>
      <w:tr>
        <w:trPr>
          <w:cantSplit/>
        </w:trPr>
        <w:tc>
          <w:tcPr>
            <w:tcW w:type="dxa" w:w="2570"/>
            <w:tcMar>
              <w:top w:w="90" w:type="dxa"/>
              <w:start w:w="100" w:type="dxa"/>
              <w:bottom w:w="90" w:type="dxa"/>
              <w:end w:w="100" w:type="dxa"/>
            </w:tcMar>
          </w:tcPr>
          <w:p>
            <w:pPr>
              <w:keepNext w:val="0"/>
              <w:spacing w:before="0" w:after="0" w:line="245" w:lineRule="auto"/>
            </w:pPr>
            <w:r>
              <w:rPr>
                <w:rFonts w:ascii="Inter" w:hAnsi="Inter" w:eastAsia="Inter"/>
                <w:b/>
                <w:color w:val="22292D"/>
                <w:sz w:val="18"/>
              </w:rPr>
              <w:t>Total fire-department calls</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val="0"/>
                <w:color w:val="22292D"/>
                <w:sz w:val="17"/>
              </w:rPr>
              <w:t>22.406 million</w:t>
              <w:br/>
              <w:t>(2003)</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val="0"/>
                <w:color w:val="22292D"/>
                <w:sz w:val="17"/>
              </w:rPr>
              <w:t>42.687 million</w:t>
              <w:br/>
              <w:t>(2024)</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color w:val="2F7478"/>
                <w:sz w:val="17"/>
              </w:rPr>
              <w:t>+90.5% [1]</w:t>
            </w:r>
          </w:p>
        </w:tc>
      </w:tr>
      <w:tr>
        <w:trPr>
          <w:cantSplit/>
        </w:trPr>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color w:val="22292D"/>
                <w:sz w:val="18"/>
              </w:rPr>
              <w:t>Medical-aid calls</w:t>
            </w:r>
          </w:p>
        </w:tc>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val="0"/>
                <w:color w:val="22292D"/>
                <w:sz w:val="17"/>
              </w:rPr>
              <w:t>13.632 million</w:t>
              <w:br/>
              <w:t>(2003)</w:t>
            </w:r>
          </w:p>
        </w:tc>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val="0"/>
                <w:color w:val="22292D"/>
                <w:sz w:val="17"/>
              </w:rPr>
              <w:t>28.227 million</w:t>
              <w:br/>
              <w:t>(2024)</w:t>
            </w:r>
          </w:p>
        </w:tc>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color w:val="2F7478"/>
                <w:sz w:val="17"/>
              </w:rPr>
              <w:t>+107.1% [1]</w:t>
            </w:r>
          </w:p>
        </w:tc>
      </w:tr>
      <w:tr>
        <w:trPr>
          <w:cantSplit/>
        </w:trPr>
        <w:tc>
          <w:tcPr>
            <w:tcW w:type="dxa" w:w="2570"/>
            <w:tcMar>
              <w:top w:w="90" w:type="dxa"/>
              <w:start w:w="100" w:type="dxa"/>
              <w:bottom w:w="90" w:type="dxa"/>
              <w:end w:w="100" w:type="dxa"/>
            </w:tcMar>
          </w:tcPr>
          <w:p>
            <w:pPr>
              <w:keepNext w:val="0"/>
              <w:spacing w:before="0" w:after="0" w:line="245" w:lineRule="auto"/>
            </w:pPr>
            <w:r>
              <w:rPr>
                <w:rFonts w:ascii="Inter" w:hAnsi="Inter" w:eastAsia="Inter"/>
                <w:b/>
                <w:color w:val="22292D"/>
                <w:sz w:val="18"/>
              </w:rPr>
              <w:t>Calls for actual fires</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val="0"/>
                <w:color w:val="22292D"/>
                <w:sz w:val="17"/>
              </w:rPr>
              <w:t>1.585 million</w:t>
              <w:br/>
              <w:t>(2003)</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val="0"/>
                <w:color w:val="22292D"/>
                <w:sz w:val="17"/>
              </w:rPr>
              <w:t>1.388 million</w:t>
              <w:br/>
              <w:t>(2024)</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color w:val="D8792D"/>
                <w:sz w:val="17"/>
              </w:rPr>
              <w:t>-12.4% [1]</w:t>
            </w:r>
          </w:p>
        </w:tc>
      </w:tr>
      <w:tr>
        <w:trPr>
          <w:cantSplit/>
        </w:trPr>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color w:val="22292D"/>
                <w:sz w:val="18"/>
              </w:rPr>
              <w:t>All firefighters</w:t>
            </w:r>
          </w:p>
        </w:tc>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val="0"/>
                <w:color w:val="22292D"/>
                <w:sz w:val="17"/>
              </w:rPr>
              <w:t>1,096,900</w:t>
              <w:br/>
              <w:t>(2003)</w:t>
            </w:r>
          </w:p>
        </w:tc>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val="0"/>
                <w:color w:val="22292D"/>
                <w:sz w:val="17"/>
              </w:rPr>
              <w:t>1,018,100</w:t>
              <w:br/>
              <w:t>(2023)</w:t>
            </w:r>
          </w:p>
        </w:tc>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color w:val="D8792D"/>
                <w:sz w:val="17"/>
              </w:rPr>
              <w:t>-7.2% [2]</w:t>
            </w:r>
          </w:p>
        </w:tc>
      </w:tr>
      <w:tr>
        <w:trPr>
          <w:cantSplit/>
        </w:trPr>
        <w:tc>
          <w:tcPr>
            <w:tcW w:type="dxa" w:w="2570"/>
            <w:tcMar>
              <w:top w:w="90" w:type="dxa"/>
              <w:start w:w="100" w:type="dxa"/>
              <w:bottom w:w="90" w:type="dxa"/>
              <w:end w:w="100" w:type="dxa"/>
            </w:tcMar>
          </w:tcPr>
          <w:p>
            <w:pPr>
              <w:keepNext w:val="0"/>
              <w:spacing w:before="0" w:after="0" w:line="245" w:lineRule="auto"/>
            </w:pPr>
            <w:r>
              <w:rPr>
                <w:rFonts w:ascii="Inter" w:hAnsi="Inter" w:eastAsia="Inter"/>
                <w:b/>
                <w:color w:val="22292D"/>
                <w:sz w:val="18"/>
              </w:rPr>
              <w:t>Career firefighters</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val="0"/>
                <w:color w:val="22292D"/>
                <w:sz w:val="17"/>
              </w:rPr>
              <w:t>296,850</w:t>
              <w:br/>
              <w:t>(2003)</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val="0"/>
                <w:color w:val="22292D"/>
                <w:sz w:val="17"/>
              </w:rPr>
              <w:t>383,000</w:t>
              <w:br/>
              <w:t>(2023)</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color w:val="2F7478"/>
                <w:sz w:val="17"/>
              </w:rPr>
              <w:t>+29.0% [2]</w:t>
            </w:r>
          </w:p>
        </w:tc>
      </w:tr>
      <w:tr>
        <w:trPr>
          <w:cantSplit/>
        </w:trPr>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color w:val="22292D"/>
                <w:sz w:val="18"/>
              </w:rPr>
              <w:t>Volunteer firefighters</w:t>
            </w:r>
          </w:p>
        </w:tc>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val="0"/>
                <w:color w:val="22292D"/>
                <w:sz w:val="17"/>
              </w:rPr>
              <w:t>800,050</w:t>
              <w:br/>
              <w:t>(2003)</w:t>
            </w:r>
          </w:p>
        </w:tc>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val="0"/>
                <w:color w:val="22292D"/>
                <w:sz w:val="17"/>
              </w:rPr>
              <w:t>635,100</w:t>
              <w:br/>
              <w:t>(2023)</w:t>
            </w:r>
          </w:p>
        </w:tc>
        <w:tc>
          <w:tcPr>
            <w:tcW w:type="dxa" w:w="2570"/>
            <w:tcMar>
              <w:top w:w="90" w:type="dxa"/>
              <w:start w:w="100" w:type="dxa"/>
              <w:bottom w:w="90" w:type="dxa"/>
              <w:end w:w="100" w:type="dxa"/>
            </w:tcMar>
            <w:shd w:fill="F5F7F6" w:val="clear"/>
          </w:tcPr>
          <w:p>
            <w:pPr>
              <w:keepNext w:val="0"/>
              <w:spacing w:before="0" w:after="0" w:line="245" w:lineRule="auto"/>
            </w:pPr>
            <w:r>
              <w:rPr>
                <w:rFonts w:ascii="Inter" w:hAnsi="Inter" w:eastAsia="Inter"/>
                <w:b/>
                <w:color w:val="D8792D"/>
                <w:sz w:val="17"/>
              </w:rPr>
              <w:t>-20.6% [2]</w:t>
            </w:r>
          </w:p>
        </w:tc>
      </w:tr>
      <w:tr>
        <w:trPr>
          <w:cantSplit/>
        </w:trPr>
        <w:tc>
          <w:tcPr>
            <w:tcW w:type="dxa" w:w="2570"/>
            <w:tcMar>
              <w:top w:w="90" w:type="dxa"/>
              <w:start w:w="100" w:type="dxa"/>
              <w:bottom w:w="90" w:type="dxa"/>
              <w:end w:w="100" w:type="dxa"/>
            </w:tcMar>
          </w:tcPr>
          <w:p>
            <w:pPr>
              <w:keepNext w:val="0"/>
              <w:spacing w:before="0" w:after="0" w:line="245" w:lineRule="auto"/>
            </w:pPr>
            <w:r>
              <w:rPr>
                <w:rFonts w:ascii="Inter" w:hAnsi="Inter" w:eastAsia="Inter"/>
                <w:b/>
                <w:color w:val="22292D"/>
                <w:sz w:val="18"/>
              </w:rPr>
              <w:t>Firefighters per 1,000 residents</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val="0"/>
                <w:color w:val="22292D"/>
                <w:sz w:val="17"/>
              </w:rPr>
              <w:t>3.77</w:t>
              <w:br/>
              <w:t>(2003)</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val="0"/>
                <w:color w:val="22292D"/>
                <w:sz w:val="17"/>
              </w:rPr>
              <w:t>3.04</w:t>
              <w:br/>
              <w:t>(2023)</w:t>
            </w:r>
          </w:p>
        </w:tc>
        <w:tc>
          <w:tcPr>
            <w:tcW w:type="dxa" w:w="2570"/>
            <w:tcMar>
              <w:top w:w="90" w:type="dxa"/>
              <w:start w:w="100" w:type="dxa"/>
              <w:bottom w:w="90" w:type="dxa"/>
              <w:end w:w="100" w:type="dxa"/>
            </w:tcMar>
          </w:tcPr>
          <w:p>
            <w:pPr>
              <w:keepNext w:val="0"/>
              <w:spacing w:before="0" w:after="0" w:line="245" w:lineRule="auto"/>
            </w:pPr>
            <w:r>
              <w:rPr>
                <w:rFonts w:ascii="Inter" w:hAnsi="Inter" w:eastAsia="Inter"/>
                <w:b/>
                <w:color w:val="D8792D"/>
                <w:sz w:val="17"/>
              </w:rPr>
              <w:t>-19.4% [2]</w:t>
            </w:r>
          </w:p>
        </w:tc>
      </w:tr>
    </w:tbl>
    <w:p>
      <w:pPr>
        <w:keepNext w:val="0"/>
        <w:spacing w:before="60" w:after="120" w:line="252" w:lineRule="auto"/>
      </w:pPr>
      <w:r>
        <w:rPr>
          <w:rFonts w:ascii="Inter" w:hAnsi="Inter" w:eastAsia="Inter"/>
          <w:i/>
          <w:color w:val="667078"/>
          <w:sz w:val="15"/>
        </w:rPr>
        <w:t>Notes: Percentage changes are calculated from cited endpoints. The latest firefighter count is 2023; the latest call table is 2024. NFPA firefighter figures are survey estimates, not a literal roster.</w:t>
      </w:r>
    </w:p>
    <w:p>
      <w:pPr>
        <w:keepNext/>
        <w:spacing w:before="0" w:after="60" w:line="240" w:lineRule="auto"/>
      </w:pPr>
      <w:r>
        <w:rPr>
          <w:rFonts w:ascii="Inter" w:hAnsi="Inter" w:eastAsia="Inter"/>
          <w:b/>
          <w:color w:val="2F7478"/>
          <w:sz w:val="17"/>
        </w:rPr>
        <w:t>OPERATIONAL PRESSURE</w:t>
      </w:r>
    </w:p>
    <w:p>
      <w:pPr>
        <w:pStyle w:val="Heading1"/>
        <w:keepNext/>
      </w:pPr>
      <w:r>
        <w:rPr>
          <w:rFonts w:ascii="Inter Display" w:hAnsi="Inter Display" w:eastAsia="Inter Display"/>
          <w:b/>
          <w:color w:val="1F292F"/>
          <w:sz w:val="36"/>
        </w:rPr>
        <w:t>1. Demand expanded faster than the responder base</w:t>
      </w:r>
    </w:p>
    <w:p>
      <w:pPr>
        <w:keepNext w:val="0"/>
        <w:spacing w:before="0" w:after="110" w:line="271" w:lineRule="auto"/>
      </w:pPr>
      <w:r>
        <w:rPr>
          <w:rFonts w:ascii="Inter" w:hAnsi="Inter" w:eastAsia="Inter"/>
          <w:i w:val="0"/>
          <w:color w:val="22292D"/>
          <w:sz w:val="20"/>
        </w:rPr>
        <w:t>U.S. fire departments handled 42.687 million calls in 2024, compared with 22.406 million in 2003. Medical-aid calls more than doubled and represented about 66 percent of all 2024 calls. Actual fire calls declined over the same period. The modern fire service is therefore carrying a much broader medical, rescue, hazard, and public-assistance workload than its name implies.</w:t>
      </w:r>
      <w:r>
        <w:rPr>
          <w:rFonts w:ascii="Inter" w:hAnsi="Inter" w:eastAsia="Inter"/>
          <w:b/>
          <w:color w:val="315E77"/>
          <w:sz w:val="16"/>
        </w:rPr>
        <w:t xml:space="preserve"> [1][4]</w:t>
      </w:r>
    </w:p>
    <w:p>
      <w:pPr>
        <w:keepNext w:val="0"/>
        <w:spacing w:before="0" w:after="110" w:line="271" w:lineRule="auto"/>
      </w:pPr>
      <w:r>
        <w:rPr>
          <w:rFonts w:ascii="Inter" w:hAnsi="Inter" w:eastAsia="Inter"/>
          <w:i w:val="0"/>
          <w:color w:val="22292D"/>
          <w:sz w:val="20"/>
        </w:rPr>
        <w:t>The workforce moved in two directions at once. Career firefighter counts increased, but volunteer counts fell by roughly 165,000 from 2003 to 2023. The career increase did not offset the volunteer loss, leaving fewer firefighters overall and substantially fewer firefighters per resident.</w:t>
      </w:r>
      <w:r>
        <w:rPr>
          <w:rFonts w:ascii="Inter" w:hAnsi="Inter" w:eastAsia="Inter"/>
          <w:b/>
          <w:color w:val="315E77"/>
          <w:sz w:val="16"/>
        </w:rPr>
        <w:t xml:space="preserve"> [2]</w:t>
      </w:r>
    </w:p>
    <w:p>
      <w:pPr>
        <w:keepNext w:val="0"/>
        <w:spacing w:before="0" w:after="110" w:line="271" w:lineRule="auto"/>
      </w:pPr>
      <w:r>
        <w:rPr>
          <w:rFonts w:ascii="Inter" w:hAnsi="Inter" w:eastAsia="Inter"/>
          <w:i w:val="0"/>
          <w:color w:val="22292D"/>
          <w:sz w:val="20"/>
        </w:rPr>
        <w:t>This is not proof that every department is understaffed. It is proof that a finite responder base is covering a wider and heavier mission set. The pressure is especially important for smaller and rural communities that rely on volunteers.</w:t>
      </w:r>
      <w:r>
        <w:rPr>
          <w:rFonts w:ascii="Inter" w:hAnsi="Inter" w:eastAsia="Inter"/>
          <w:b/>
          <w:color w:val="315E77"/>
          <w:sz w:val="16"/>
        </w:rPr>
        <w:t xml:space="preserve"> [2][4]</w:t>
      </w:r>
    </w:p>
    <w:p>
      <w:pPr>
        <w:keepNext/>
        <w:spacing w:before="0" w:after="60" w:line="240" w:lineRule="auto"/>
      </w:pPr>
      <w:r>
        <w:rPr>
          <w:rFonts w:ascii="Inter" w:hAnsi="Inter" w:eastAsia="Inter"/>
          <w:b/>
          <w:color w:val="2F7478"/>
          <w:sz w:val="17"/>
        </w:rPr>
        <w:t>WORKFORCE STABILITY</w:t>
      </w:r>
    </w:p>
    <w:p>
      <w:pPr>
        <w:pStyle w:val="Heading1"/>
        <w:keepNext/>
      </w:pPr>
      <w:r>
        <w:rPr>
          <w:rFonts w:ascii="Inter Display" w:hAnsi="Inter Display" w:eastAsia="Inter Display"/>
          <w:b/>
          <w:color w:val="1F292F"/>
          <w:sz w:val="36"/>
        </w:rPr>
        <w:t>2. Replacement pressure is built into the next decade</w:t>
      </w:r>
    </w:p>
    <w:p>
      <w:pPr>
        <w:keepNext w:val="0"/>
        <w:spacing w:before="0" w:after="110" w:line="271" w:lineRule="auto"/>
      </w:pPr>
      <w:r>
        <w:rPr>
          <w:rFonts w:ascii="Inter" w:hAnsi="Inter" w:eastAsia="Inter"/>
          <w:i w:val="0"/>
          <w:color w:val="22292D"/>
          <w:sz w:val="20"/>
        </w:rPr>
        <w:t>The Bureau of Labor Statistics projects about 19,000 EMT and paramedic openings per year from 2024 through 2034 and about 27,100 firefighter openings per year. Many are expected to arise because workers transfer occupations or leave the labor force, not only because the occupations grow.</w:t>
      </w:r>
      <w:r>
        <w:rPr>
          <w:rFonts w:ascii="Inter" w:hAnsi="Inter" w:eastAsia="Inter"/>
          <w:b/>
          <w:color w:val="315E77"/>
          <w:sz w:val="16"/>
        </w:rPr>
        <w:t xml:space="preserve"> [3][4]</w:t>
      </w:r>
    </w:p>
    <w:p>
      <w:pPr>
        <w:keepNext w:val="0"/>
        <w:spacing w:before="0" w:after="110" w:line="271" w:lineRule="auto"/>
      </w:pPr>
      <w:r>
        <w:rPr>
          <w:rFonts w:ascii="Inter" w:hAnsi="Inter" w:eastAsia="Inter"/>
          <w:i w:val="0"/>
          <w:color w:val="22292D"/>
          <w:sz w:val="20"/>
        </w:rPr>
        <w:t>A National Registry-led study of 29,671 nationally registered civilian EMTs and paramedics found that 7.1 percent of EMTs and 7.9 percent of paramedics reported being likely to leave EMS within 12 months. Among likely leavers, stress was the most frequently reported reason, and job dissatisfaction was the strongest measured factor associated with leaving. The study was cross-sectional and had a 25.9 percent response rate, so it should be treated as evidence of pressure, not a precise national exit rate.</w:t>
      </w:r>
      <w:r>
        <w:rPr>
          <w:rFonts w:ascii="Inter" w:hAnsi="Inter" w:eastAsia="Inter"/>
          <w:b/>
          <w:color w:val="315E77"/>
          <w:sz w:val="16"/>
        </w:rPr>
        <w:t xml:space="preserve"> [8]</w:t>
      </w:r>
    </w:p>
    <w:tbl>
      <w:tblPr>
        <w:tblW w:type="auto" w:w="0"/>
        <w:jc w:val="center"/>
        <w:tblLook w:firstColumn="1" w:firstRow="1" w:lastColumn="0" w:lastRow="0" w:noHBand="0" w:noVBand="1" w:val="04A0"/>
      </w:tblPr>
      <w:tblGrid>
        <w:gridCol w:w="10282"/>
      </w:tblGrid>
      <w:tr>
        <w:trPr>
          <w:cantSplit/>
        </w:trPr>
        <w:tc>
          <w:tcPr>
            <w:tcW w:type="dxa" w:w="10282"/>
            <w:tcBorders>
              <w:top w:val="nil"/>
              <w:start w:val="single" w:sz="20" w:color="315E77"/>
              <w:bottom w:val="nil"/>
              <w:end w:val="nil"/>
              <w:insideH w:val="nil"/>
              <w:insideV w:val="nil"/>
            </w:tcBorders>
            <w:shd w:fill="E8F0F3" w:val="clear"/>
            <w:tcMar>
              <w:top w:w="170" w:type="dxa"/>
              <w:start w:w="220" w:type="dxa"/>
              <w:bottom w:w="170" w:type="dxa"/>
              <w:end w:w="220" w:type="dxa"/>
            </w:tcMar>
          </w:tcPr>
          <w:p>
            <w:pPr>
              <w:keepNext w:val="0"/>
              <w:spacing w:before="0" w:after="60" w:line="240" w:lineRule="auto"/>
            </w:pPr>
            <w:r>
              <w:rPr>
                <w:rFonts w:ascii="Inter" w:hAnsi="Inter" w:eastAsia="Inter"/>
                <w:b/>
                <w:color w:val="315E77"/>
                <w:sz w:val="17"/>
              </w:rPr>
              <w:t>DESIGN IMPLICATION</w:t>
            </w:r>
          </w:p>
          <w:p>
            <w:pPr>
              <w:keepNext w:val="0"/>
              <w:spacing w:before="0" w:after="0" w:line="269" w:lineRule="auto"/>
            </w:pPr>
            <w:r>
              <w:rPr>
                <w:rFonts w:ascii="Inter Display" w:hAnsi="Inter Display" w:eastAsia="Inter Display"/>
                <w:b/>
                <w:color w:val="1F292F"/>
                <w:sz w:val="21"/>
              </w:rPr>
              <w:t>A support system cannot repair pay, scheduling, leadership, pensions, or training pipelines. It can still reduce avoidable physical punishment, logistical drag, blind entry, and scene uncertainty, all of which affect whether skilled people can keep doing the job.</w:t>
            </w:r>
          </w:p>
        </w:tc>
      </w:tr>
    </w:tbl>
    <w:p>
      <w:pPr>
        <w:spacing w:after="0"/>
      </w:pPr>
    </w:p>
    <w:p>
      <w:pPr>
        <w:keepNext/>
        <w:spacing w:before="0" w:after="60" w:line="240" w:lineRule="auto"/>
      </w:pPr>
      <w:r>
        <w:rPr>
          <w:rFonts w:ascii="Inter" w:hAnsi="Inter" w:eastAsia="Inter"/>
          <w:b/>
          <w:color w:val="2F7478"/>
          <w:sz w:val="17"/>
        </w:rPr>
        <w:t>RESPONDER HEALTH</w:t>
      </w:r>
    </w:p>
    <w:p>
      <w:pPr>
        <w:pStyle w:val="Heading1"/>
        <w:keepNext/>
      </w:pPr>
      <w:r>
        <w:rPr>
          <w:rFonts w:ascii="Inter Display" w:hAnsi="Inter Display" w:eastAsia="Inter Display"/>
          <w:b/>
          <w:color w:val="1F292F"/>
          <w:sz w:val="36"/>
        </w:rPr>
        <w:t>3. The injury burden is large and mechanically relevant</w:t>
      </w:r>
    </w:p>
    <w:p>
      <w:pPr>
        <w:keepNext w:val="0"/>
        <w:spacing w:before="0" w:after="110" w:line="271" w:lineRule="auto"/>
      </w:pPr>
      <w:r>
        <w:rPr>
          <w:rFonts w:ascii="Inter" w:hAnsi="Inter" w:eastAsia="Inter"/>
          <w:i w:val="0"/>
          <w:color w:val="22292D"/>
          <w:sz w:val="20"/>
        </w:rPr>
        <w:t>BLS identifies EMTs and paramedics as having one of the highest rates of injuries and illnesses of all occupations. The work requires repeated kneeling, bending, lifting, patient movement, decontamination, and exposure to disease and violence.</w:t>
      </w:r>
      <w:r>
        <w:rPr>
          <w:rFonts w:ascii="Inter" w:hAnsi="Inter" w:eastAsia="Inter"/>
          <w:b/>
          <w:color w:val="315E77"/>
          <w:sz w:val="16"/>
        </w:rPr>
        <w:t xml:space="preserve"> [3]</w:t>
      </w:r>
    </w:p>
    <w:p>
      <w:pPr>
        <w:keepNext w:val="0"/>
        <w:spacing w:before="0" w:after="110" w:line="271" w:lineRule="auto"/>
      </w:pPr>
      <w:r>
        <w:rPr>
          <w:rFonts w:ascii="Inter" w:hAnsi="Inter" w:eastAsia="Inter"/>
          <w:i w:val="0"/>
          <w:color w:val="22292D"/>
          <w:sz w:val="20"/>
        </w:rPr>
        <w:t>A NIOSH and NHTSA national follow-back study estimated 89,100 EMS workers were treated in emergency departments for occupational injuries or exposures over four years. The career EMS rate was 8.6 emergency-department-treated injuries and exposures per 100 full-time-equivalent workers, more than four times the rate for all workers in the comparison population. Sprains and strains accounted for 41 percent of cases. Body-motion injuries, including excessive effort, awkward posture, and repetitive movement, were the largest event category.</w:t>
      </w:r>
      <w:r>
        <w:rPr>
          <w:rFonts w:ascii="Inter" w:hAnsi="Inter" w:eastAsia="Inter"/>
          <w:b/>
          <w:color w:val="315E77"/>
          <w:sz w:val="16"/>
        </w:rPr>
        <w:t xml:space="preserve"> [5]</w:t>
      </w:r>
    </w:p>
    <w:p>
      <w:pPr>
        <w:keepNext w:val="0"/>
        <w:spacing w:before="0" w:after="110" w:line="271" w:lineRule="auto"/>
      </w:pPr>
      <w:r>
        <w:rPr>
          <w:rFonts w:ascii="Inter" w:hAnsi="Inter" w:eastAsia="Inter"/>
          <w:i w:val="0"/>
          <w:color w:val="22292D"/>
          <w:sz w:val="20"/>
        </w:rPr>
        <w:t>Among body-motion cases, the study repeatedly identified patient handling, heavy lifting, stretchers, cots, stairs, and awkward movement as core mechanisms. More than half of body-motion cases caused at least one missed workday.</w:t>
      </w:r>
      <w:r>
        <w:rPr>
          <w:rFonts w:ascii="Inter" w:hAnsi="Inter" w:eastAsia="Inter"/>
          <w:b/>
          <w:color w:val="315E77"/>
          <w:sz w:val="16"/>
        </w:rPr>
        <w:t xml:space="preserve"> [5]</w:t>
      </w:r>
    </w:p>
    <w:p>
      <w:pPr>
        <w:keepNext w:val="0"/>
        <w:spacing w:before="0" w:after="110" w:line="271" w:lineRule="auto"/>
      </w:pPr>
      <w:r>
        <w:rPr>
          <w:rFonts w:ascii="Inter" w:hAnsi="Inter" w:eastAsia="Inter"/>
          <w:i w:val="0"/>
          <w:color w:val="22292D"/>
          <w:sz w:val="20"/>
        </w:rPr>
        <w:t>NFPA estimated 53,575 municipal firefighter injuries in 2024. Overexertion or strain remained the leading cause of fireground injuries. Injury totals have improved over the long term, but the remaining burden is still operationally significant and closely aligned with tasks that carefully designed support equipment may reduce.</w:t>
      </w:r>
      <w:r>
        <w:rPr>
          <w:rFonts w:ascii="Inter" w:hAnsi="Inter" w:eastAsia="Inter"/>
          <w:b/>
          <w:color w:val="315E77"/>
          <w:sz w:val="16"/>
        </w:rPr>
        <w:t xml:space="preserve"> [6]</w:t>
      </w:r>
    </w:p>
    <w:p>
      <w:pPr>
        <w:keepNext/>
        <w:spacing w:before="0" w:after="60" w:line="240" w:lineRule="auto"/>
      </w:pPr>
      <w:r>
        <w:rPr>
          <w:rFonts w:ascii="Inter" w:hAnsi="Inter" w:eastAsia="Inter"/>
          <w:b/>
          <w:color w:val="2F7478"/>
          <w:sz w:val="17"/>
        </w:rPr>
        <w:t>SCENE SAFETY</w:t>
      </w:r>
    </w:p>
    <w:p>
      <w:pPr>
        <w:pStyle w:val="Heading1"/>
        <w:keepNext/>
      </w:pPr>
      <w:r>
        <w:rPr>
          <w:rFonts w:ascii="Inter Display" w:hAnsi="Inter Display" w:eastAsia="Inter Display"/>
          <w:b/>
          <w:color w:val="1F292F"/>
          <w:sz w:val="36"/>
        </w:rPr>
        <w:t>4. Violence is persistent, often patient-driven, and badly undercounted</w:t>
      </w:r>
    </w:p>
    <w:p>
      <w:pPr>
        <w:keepNext w:val="0"/>
        <w:spacing w:before="0" w:after="110" w:line="271" w:lineRule="auto"/>
      </w:pPr>
      <w:r>
        <w:rPr>
          <w:rFonts w:ascii="Inter" w:hAnsi="Inter" w:eastAsia="Inter"/>
          <w:i w:val="0"/>
          <w:color w:val="22292D"/>
          <w:sz w:val="20"/>
        </w:rPr>
        <w:t>The NIOSH and NHTSA study estimated 6,400 violence or assault events that led to emergency-department treatment over four years. Almost every sole perpetrator was a patient. Police were absent in 62 percent of the events, and a police report was made in only 42 percent. Forty-three percent of the affected workers had four years or less of EMS experience.</w:t>
      </w:r>
      <w:r>
        <w:rPr>
          <w:rFonts w:ascii="Inter" w:hAnsi="Inter" w:eastAsia="Inter"/>
          <w:b/>
          <w:color w:val="315E77"/>
          <w:sz w:val="16"/>
        </w:rPr>
        <w:t xml:space="preserve"> [5]</w:t>
      </w:r>
    </w:p>
    <w:p>
      <w:pPr>
        <w:keepNext w:val="0"/>
        <w:spacing w:before="0" w:after="110" w:line="271" w:lineRule="auto"/>
      </w:pPr>
      <w:r>
        <w:rPr>
          <w:rFonts w:ascii="Inter" w:hAnsi="Inter" w:eastAsia="Inter"/>
          <w:i w:val="0"/>
          <w:color w:val="22292D"/>
          <w:sz w:val="20"/>
        </w:rPr>
        <w:t>A later prospective study embedded a workplace-violence checkbox into 102,632 EMS runs across a large multistate agency. Clinicians identified violence on 843 runs, or 0.86 per 100 runs. Physical assault occurred alone or alongside verbal abuse on 361 runs. Only 2.7 percent of violent runs captured in the medical record were also reported through official workplace processes.</w:t>
      </w:r>
      <w:r>
        <w:rPr>
          <w:rFonts w:ascii="Inter" w:hAnsi="Inter" w:eastAsia="Inter"/>
          <w:b/>
          <w:color w:val="315E77"/>
          <w:sz w:val="16"/>
        </w:rPr>
        <w:t xml:space="preserve"> [7]</w:t>
      </w:r>
    </w:p>
    <w:p>
      <w:pPr>
        <w:keepNext w:val="0"/>
        <w:spacing w:before="0" w:after="110" w:line="271" w:lineRule="auto"/>
      </w:pPr>
      <w:r>
        <w:rPr>
          <w:rFonts w:ascii="Inter" w:hAnsi="Inter" w:eastAsia="Inter"/>
          <w:i w:val="0"/>
          <w:color w:val="22292D"/>
          <w:sz w:val="20"/>
        </w:rPr>
        <w:t>Those studies do not establish a clean 20-year national trend. They do establish that violence is not rare, that patients are frequent perpetrators, and that ordinary reporting systems miss most events. A credible safety design should therefore emphasize distance, early communication, clear exits, escalation, and reliable backup rather than robotic confrontation.</w:t>
      </w:r>
      <w:r>
        <w:rPr>
          <w:rFonts w:ascii="Inter" w:hAnsi="Inter" w:eastAsia="Inter"/>
          <w:b/>
          <w:color w:val="315E77"/>
          <w:sz w:val="16"/>
        </w:rPr>
        <w:t xml:space="preserve"> [5][7][10]</w:t>
      </w:r>
    </w:p>
    <w:p>
      <w:pPr>
        <w:keepNext/>
        <w:spacing w:before="0" w:after="60" w:line="240" w:lineRule="auto"/>
      </w:pPr>
      <w:r>
        <w:rPr>
          <w:rFonts w:ascii="Inter" w:hAnsi="Inter" w:eastAsia="Inter"/>
          <w:b/>
          <w:color w:val="2F7478"/>
          <w:sz w:val="17"/>
        </w:rPr>
        <w:t>RESEARCH-TO-DESIGN TRANSLATION</w:t>
      </w:r>
    </w:p>
    <w:p>
      <w:pPr>
        <w:pStyle w:val="Heading1"/>
        <w:keepNext/>
      </w:pPr>
      <w:r>
        <w:rPr>
          <w:rFonts w:ascii="Inter Display" w:hAnsi="Inter Display" w:eastAsia="Inter Display"/>
          <w:b/>
          <w:color w:val="1F292F"/>
          <w:sz w:val="36"/>
        </w:rPr>
        <w:t>5. Why Project Urael fits the documented need</w:t>
      </w:r>
    </w:p>
    <w:p>
      <w:pPr>
        <w:keepNext w:val="0"/>
        <w:spacing w:before="0" w:after="110" w:line="271" w:lineRule="auto"/>
      </w:pPr>
      <w:r>
        <w:rPr>
          <w:rFonts w:ascii="Inter" w:hAnsi="Inter" w:eastAsia="Inter"/>
          <w:i w:val="0"/>
          <w:color w:val="22292D"/>
          <w:sz w:val="20"/>
        </w:rPr>
        <w:t>NIST identifies emergency response as a domain in which robots can establish situational awareness, search compromised structures, assess industrial or transportation incidents, and perform hazardous tasks from safer standoff distances. NIST also stresses that autonomy must reduce operator cognitive load and that capability, reliability, and operator proficiency must be measured objectively.</w:t>
      </w:r>
      <w:r>
        <w:rPr>
          <w:rFonts w:ascii="Inter" w:hAnsi="Inter" w:eastAsia="Inter"/>
          <w:b/>
          <w:color w:val="315E77"/>
          <w:sz w:val="16"/>
        </w:rPr>
        <w:t xml:space="preserve"> [9]</w:t>
      </w:r>
    </w:p>
    <w:tbl>
      <w:tblPr>
        <w:tblStyle w:val="TableGrid"/>
        <w:tblW w:type="auto" w:w="0"/>
        <w:jc w:val="center"/>
        <w:tblLook w:firstColumn="1" w:firstRow="1" w:lastColumn="0" w:lastRow="0" w:noHBand="0" w:noVBand="1" w:val="04A0"/>
      </w:tblPr>
      <w:tblGrid>
        <w:gridCol w:w="5141"/>
        <w:gridCol w:w="5141"/>
      </w:tblGrid>
      <w:tr>
        <w:trPr>
          <w:tblHeader w:val="true"/>
        </w:trPr>
        <w:tc>
          <w:tcPr>
            <w:tcW w:type="dxa" w:w="3240"/>
            <w:shd w:fill="2F7478" w:val="clear"/>
            <w:tcMar>
              <w:top w:w="100" w:type="dxa"/>
              <w:start w:w="120" w:type="dxa"/>
              <w:bottom w:w="100" w:type="dxa"/>
              <w:end w:w="120" w:type="dxa"/>
            </w:tcMar>
          </w:tcPr>
          <w:p>
            <w:r>
              <w:rPr>
                <w:rFonts w:ascii="Inter" w:hAnsi="Inter" w:eastAsia="Inter"/>
                <w:b/>
                <w:color w:val="FFFFFF"/>
                <w:sz w:val="16"/>
              </w:rPr>
              <w:t>DOCUMENTED NEED</w:t>
            </w:r>
          </w:p>
        </w:tc>
        <w:tc>
          <w:tcPr>
            <w:tcW w:type="dxa" w:w="6552"/>
            <w:shd w:fill="1F292F" w:val="clear"/>
            <w:tcMar>
              <w:top w:w="100" w:type="dxa"/>
              <w:start w:w="120" w:type="dxa"/>
              <w:bottom w:w="100" w:type="dxa"/>
              <w:end w:w="120" w:type="dxa"/>
            </w:tcMar>
          </w:tcPr>
          <w:p>
            <w:r>
              <w:rPr>
                <w:rFonts w:ascii="Inter" w:hAnsi="Inter" w:eastAsia="Inter"/>
                <w:b/>
                <w:color w:val="FFFFFF"/>
                <w:sz w:val="16"/>
              </w:rPr>
              <w:t>PUBLIC-FACING URAEL RESPONSE DIRECTION</w:t>
            </w:r>
          </w:p>
        </w:tc>
      </w:tr>
      <w:tr>
        <w:trPr>
          <w:cantSplit/>
        </w:trPr>
        <w:tc>
          <w:tcPr>
            <w:tcW w:type="dxa" w:w="5141"/>
            <w:shd w:fill="F5F8F7" w:val="clear"/>
            <w:tcMar>
              <w:top w:w="105" w:type="dxa"/>
              <w:start w:w="120" w:type="dxa"/>
              <w:bottom w:w="105" w:type="dxa"/>
              <w:end w:w="120" w:type="dxa"/>
            </w:tcMar>
          </w:tcPr>
          <w:p>
            <w:r>
              <w:rPr>
                <w:rFonts w:ascii="Inter" w:hAnsi="Inter" w:eastAsia="Inter"/>
                <w:b/>
                <w:color w:val="1F292F"/>
                <w:sz w:val="18"/>
              </w:rPr>
              <w:t>Unknown or changing scene conditions</w:t>
            </w:r>
          </w:p>
        </w:tc>
        <w:tc>
          <w:tcPr>
            <w:tcW w:type="dxa" w:w="5141"/>
            <w:shd w:fill="F5F8F7" w:val="clear"/>
            <w:tcMar>
              <w:top w:w="105" w:type="dxa"/>
              <w:start w:w="120" w:type="dxa"/>
              <w:bottom w:w="105" w:type="dxa"/>
              <w:end w:w="120" w:type="dxa"/>
            </w:tcMar>
          </w:tcPr>
          <w:p>
            <w:r>
              <w:rPr>
                <w:rFonts w:ascii="Inter" w:hAnsi="Inter" w:eastAsia="Inter"/>
                <w:color w:val="22292D"/>
                <w:sz w:val="18"/>
              </w:rPr>
              <w:t>Remote scene assessment, route verification, hazard sensing, lighting, and concise responder-ready updates before human entry.</w:t>
            </w:r>
          </w:p>
        </w:tc>
      </w:tr>
      <w:tr>
        <w:trPr>
          <w:cantSplit/>
        </w:trPr>
        <w:tc>
          <w:tcPr>
            <w:tcW w:type="dxa" w:w="5141"/>
            <w:tcMar>
              <w:top w:w="105" w:type="dxa"/>
              <w:start w:w="120" w:type="dxa"/>
              <w:bottom w:w="105" w:type="dxa"/>
              <w:end w:w="120" w:type="dxa"/>
            </w:tcMar>
          </w:tcPr>
          <w:p>
            <w:r>
              <w:rPr>
                <w:rFonts w:ascii="Inter" w:hAnsi="Inter" w:eastAsia="Inter"/>
                <w:b/>
                <w:color w:val="1F292F"/>
                <w:sz w:val="18"/>
              </w:rPr>
              <w:t>Overexertion and repetitive carrying</w:t>
            </w:r>
          </w:p>
        </w:tc>
        <w:tc>
          <w:tcPr>
            <w:tcW w:type="dxa" w:w="5141"/>
            <w:tcMar>
              <w:top w:w="105" w:type="dxa"/>
              <w:start w:w="120" w:type="dxa"/>
              <w:bottom w:w="105" w:type="dxa"/>
              <w:end w:w="120" w:type="dxa"/>
            </w:tcMar>
          </w:tcPr>
          <w:p>
            <w:r>
              <w:rPr>
                <w:rFonts w:ascii="Inter" w:hAnsi="Inter" w:eastAsia="Inter"/>
                <w:color w:val="22292D"/>
                <w:sz w:val="18"/>
              </w:rPr>
              <w:t>Transport approved equipment and supplies, stage tools, repeat low-risk carries, and perform certified material handling.</w:t>
            </w:r>
          </w:p>
        </w:tc>
      </w:tr>
      <w:tr>
        <w:trPr>
          <w:cantSplit/>
        </w:trPr>
        <w:tc>
          <w:tcPr>
            <w:tcW w:type="dxa" w:w="5141"/>
            <w:shd w:fill="F5F8F7" w:val="clear"/>
            <w:tcMar>
              <w:top w:w="105" w:type="dxa"/>
              <w:start w:w="120" w:type="dxa"/>
              <w:bottom w:w="105" w:type="dxa"/>
              <w:end w:w="120" w:type="dxa"/>
            </w:tcMar>
          </w:tcPr>
          <w:p>
            <w:r>
              <w:rPr>
                <w:rFonts w:ascii="Inter" w:hAnsi="Inter" w:eastAsia="Inter"/>
                <w:b/>
                <w:color w:val="1F292F"/>
                <w:sz w:val="18"/>
              </w:rPr>
              <w:t>Violent or unstable encounters</w:t>
            </w:r>
          </w:p>
        </w:tc>
        <w:tc>
          <w:tcPr>
            <w:tcW w:type="dxa" w:w="5141"/>
            <w:shd w:fill="F5F8F7" w:val="clear"/>
            <w:tcMar>
              <w:top w:w="105" w:type="dxa"/>
              <w:start w:w="120" w:type="dxa"/>
              <w:bottom w:w="105" w:type="dxa"/>
              <w:end w:w="120" w:type="dxa"/>
            </w:tcMar>
          </w:tcPr>
          <w:p>
            <w:r>
              <w:rPr>
                <w:rFonts w:ascii="Inter" w:hAnsi="Inter" w:eastAsia="Inter"/>
                <w:color w:val="22292D"/>
                <w:sz w:val="18"/>
              </w:rPr>
              <w:t>Support standoff contact, two-way communication, exit awareness, escalation, and dispatch updates without pursuit, restraint, or weaponization.</w:t>
            </w:r>
          </w:p>
        </w:tc>
      </w:tr>
      <w:tr>
        <w:trPr>
          <w:cantSplit/>
        </w:trPr>
        <w:tc>
          <w:tcPr>
            <w:tcW w:type="dxa" w:w="5141"/>
            <w:tcMar>
              <w:top w:w="105" w:type="dxa"/>
              <w:start w:w="120" w:type="dxa"/>
              <w:bottom w:w="105" w:type="dxa"/>
              <w:end w:w="120" w:type="dxa"/>
            </w:tcMar>
          </w:tcPr>
          <w:p>
            <w:r>
              <w:rPr>
                <w:rFonts w:ascii="Inter" w:hAnsi="Inter" w:eastAsia="Inter"/>
                <w:b/>
                <w:color w:val="1F292F"/>
                <w:sz w:val="18"/>
              </w:rPr>
              <w:t>Blocked access and roadside exposure</w:t>
            </w:r>
          </w:p>
        </w:tc>
        <w:tc>
          <w:tcPr>
            <w:tcW w:type="dxa" w:w="5141"/>
            <w:tcMar>
              <w:top w:w="105" w:type="dxa"/>
              <w:start w:w="120" w:type="dxa"/>
              <w:bottom w:w="105" w:type="dxa"/>
              <w:end w:w="120" w:type="dxa"/>
            </w:tcMar>
          </w:tcPr>
          <w:p>
            <w:r>
              <w:rPr>
                <w:rFonts w:ascii="Inter" w:hAnsi="Inter" w:eastAsia="Inter"/>
                <w:color w:val="22292D"/>
                <w:sz w:val="18"/>
              </w:rPr>
              <w:t>Mark hazards, deploy visible beacons under protocol, preserve responder lanes, and keep routes legible.</w:t>
            </w:r>
          </w:p>
        </w:tc>
      </w:tr>
      <w:tr>
        <w:trPr>
          <w:cantSplit/>
        </w:trPr>
        <w:tc>
          <w:tcPr>
            <w:tcW w:type="dxa" w:w="5141"/>
            <w:shd w:fill="F5F8F7" w:val="clear"/>
            <w:tcMar>
              <w:top w:w="105" w:type="dxa"/>
              <w:start w:w="120" w:type="dxa"/>
              <w:bottom w:w="105" w:type="dxa"/>
              <w:end w:w="120" w:type="dxa"/>
            </w:tcMar>
          </w:tcPr>
          <w:p>
            <w:r>
              <w:rPr>
                <w:rFonts w:ascii="Inter" w:hAnsi="Inter" w:eastAsia="Inter"/>
                <w:b/>
                <w:color w:val="1F292F"/>
                <w:sz w:val="18"/>
              </w:rPr>
              <w:t>Communications or infrastructure failure</w:t>
            </w:r>
          </w:p>
        </w:tc>
        <w:tc>
          <w:tcPr>
            <w:tcW w:type="dxa" w:w="5141"/>
            <w:shd w:fill="F5F8F7" w:val="clear"/>
            <w:tcMar>
              <w:top w:w="105" w:type="dxa"/>
              <w:start w:w="120" w:type="dxa"/>
              <w:bottom w:w="105" w:type="dxa"/>
              <w:end w:w="120" w:type="dxa"/>
            </w:tcMar>
          </w:tcPr>
          <w:p>
            <w:r>
              <w:rPr>
                <w:rFonts w:ascii="Inter" w:hAnsi="Inter" w:eastAsia="Inter"/>
                <w:color w:val="22292D"/>
                <w:sz w:val="18"/>
              </w:rPr>
              <w:t>Provide local relay, offline mission context, and graceful handoff when cloud or cellular systems fail.</w:t>
            </w:r>
          </w:p>
        </w:tc>
      </w:tr>
      <w:tr>
        <w:trPr>
          <w:cantSplit/>
        </w:trPr>
        <w:tc>
          <w:tcPr>
            <w:tcW w:type="dxa" w:w="5141"/>
            <w:tcMar>
              <w:top w:w="105" w:type="dxa"/>
              <w:start w:w="120" w:type="dxa"/>
              <w:bottom w:w="105" w:type="dxa"/>
              <w:end w:w="120" w:type="dxa"/>
            </w:tcMar>
          </w:tcPr>
          <w:p>
            <w:r>
              <w:rPr>
                <w:rFonts w:ascii="Inter" w:hAnsi="Inter" w:eastAsia="Inter"/>
                <w:b/>
                <w:color w:val="1F292F"/>
                <w:sz w:val="18"/>
              </w:rPr>
              <w:t>High call volume and limited attention</w:t>
            </w:r>
          </w:p>
        </w:tc>
        <w:tc>
          <w:tcPr>
            <w:tcW w:type="dxa" w:w="5141"/>
            <w:tcMar>
              <w:top w:w="105" w:type="dxa"/>
              <w:start w:w="120" w:type="dxa"/>
              <w:bottom w:w="105" w:type="dxa"/>
              <w:end w:w="120" w:type="dxa"/>
            </w:tcMar>
          </w:tcPr>
          <w:p>
            <w:r>
              <w:rPr>
                <w:rFonts w:ascii="Inter" w:hAnsi="Inter" w:eastAsia="Inter"/>
                <w:color w:val="22292D"/>
                <w:sz w:val="18"/>
              </w:rPr>
              <w:t>Return responder time from mapping, supply movement, repeated observation, and logistical relay to care, rescue, command, and restoration.</w:t>
            </w:r>
          </w:p>
        </w:tc>
      </w:tr>
    </w:tbl>
    <w:p>
      <w:pPr>
        <w:keepNext/>
        <w:spacing w:before="0" w:after="60" w:line="240" w:lineRule="auto"/>
      </w:pPr>
      <w:r>
        <w:rPr>
          <w:rFonts w:ascii="Inter" w:hAnsi="Inter" w:eastAsia="Inter"/>
          <w:b/>
          <w:color w:val="2F7478"/>
          <w:sz w:val="17"/>
        </w:rPr>
        <w:t>SUPPORT WITHOUT SUBSTITUTION</w:t>
      </w:r>
    </w:p>
    <w:p>
      <w:pPr>
        <w:pStyle w:val="Heading1"/>
        <w:keepNext/>
      </w:pPr>
      <w:r>
        <w:rPr>
          <w:rFonts w:ascii="Inter Display" w:hAnsi="Inter Display" w:eastAsia="Inter Display"/>
          <w:b/>
          <w:color w:val="1F292F"/>
          <w:sz w:val="36"/>
        </w:rPr>
        <w:t>6. Non-negotiable boundaries</w:t>
      </w:r>
    </w:p>
    <w:p>
      <w:pPr>
        <w:pStyle w:val="ListBullet"/>
        <w:keepNext w:val="0"/>
        <w:spacing w:before="0" w:after="70" w:line="259" w:lineRule="auto"/>
      </w:pPr>
      <w:r>
        <w:rPr>
          <w:rFonts w:ascii="Inter" w:hAnsi="Inter" w:eastAsia="Inter"/>
          <w:color w:val="22292D"/>
          <w:sz w:val="20"/>
        </w:rPr>
        <w:t>A Urael unit must never count toward legally or professionally required human staffing minimums.</w:t>
      </w:r>
    </w:p>
    <w:p>
      <w:pPr>
        <w:pStyle w:val="ListBullet"/>
        <w:keepNext w:val="0"/>
        <w:spacing w:before="0" w:after="70" w:line="259" w:lineRule="auto"/>
      </w:pPr>
      <w:r>
        <w:rPr>
          <w:rFonts w:ascii="Inter" w:hAnsi="Inter" w:eastAsia="Inter"/>
          <w:color w:val="22292D"/>
          <w:sz w:val="20"/>
        </w:rPr>
        <w:t>Human responders retain command, clinical judgment, rescue decisions, and lawful authority.</w:t>
      </w:r>
    </w:p>
    <w:p>
      <w:pPr>
        <w:pStyle w:val="ListBullet"/>
        <w:keepNext w:val="0"/>
        <w:spacing w:before="0" w:after="70" w:line="259" w:lineRule="auto"/>
      </w:pPr>
      <w:r>
        <w:rPr>
          <w:rFonts w:ascii="Inter" w:hAnsi="Inter" w:eastAsia="Inter"/>
          <w:color w:val="22292D"/>
          <w:sz w:val="20"/>
        </w:rPr>
        <w:t>No weapons, pursuit, detention, punishment, crowd control, or autonomous law enforcement.</w:t>
      </w:r>
    </w:p>
    <w:p>
      <w:pPr>
        <w:pStyle w:val="ListBullet"/>
        <w:keepNext w:val="0"/>
        <w:spacing w:before="0" w:after="70" w:line="259" w:lineRule="auto"/>
      </w:pPr>
      <w:r>
        <w:rPr>
          <w:rFonts w:ascii="Inter" w:hAnsi="Inter" w:eastAsia="Inter"/>
          <w:color w:val="22292D"/>
          <w:sz w:val="20"/>
        </w:rPr>
        <w:t>No general facial recognition, license-plate tracking, permanent ordinary recording, or hidden population surveillance.</w:t>
      </w:r>
    </w:p>
    <w:p>
      <w:pPr>
        <w:pStyle w:val="ListBullet"/>
        <w:keepNext w:val="0"/>
        <w:spacing w:before="0" w:after="70" w:line="259" w:lineRule="auto"/>
      </w:pPr>
      <w:r>
        <w:rPr>
          <w:rFonts w:ascii="Inter" w:hAnsi="Inter" w:eastAsia="Inter"/>
          <w:color w:val="22292D"/>
          <w:sz w:val="20"/>
        </w:rPr>
        <w:t>No autonomous diagnosis or unsupervised invasive treatment. Medical functions stop at certification and clinician direction.</w:t>
      </w:r>
    </w:p>
    <w:p>
      <w:pPr>
        <w:pStyle w:val="ListBullet"/>
        <w:keepNext w:val="0"/>
        <w:spacing w:before="0" w:after="70" w:line="259" w:lineRule="auto"/>
      </w:pPr>
      <w:r>
        <w:rPr>
          <w:rFonts w:ascii="Inter" w:hAnsi="Inter" w:eastAsia="Inter"/>
          <w:color w:val="22292D"/>
          <w:sz w:val="20"/>
        </w:rPr>
        <w:t>The system must fail safely, state what it cannot do, and remain useful without forcing responders to become full-time robot operators.</w:t>
      </w:r>
    </w:p>
    <w:tbl>
      <w:tblPr>
        <w:tblW w:type="auto" w:w="0"/>
        <w:jc w:val="center"/>
        <w:tblLook w:firstColumn="1" w:firstRow="1" w:lastColumn="0" w:lastRow="0" w:noHBand="0" w:noVBand="1" w:val="04A0"/>
      </w:tblPr>
      <w:tblGrid>
        <w:gridCol w:w="10282"/>
      </w:tblGrid>
      <w:tr>
        <w:trPr>
          <w:cantSplit/>
        </w:trPr>
        <w:tc>
          <w:tcPr>
            <w:tcW w:type="dxa" w:w="10282"/>
            <w:tcBorders>
              <w:top w:val="nil"/>
              <w:start w:val="single" w:sz="20" w:color="D8792D"/>
              <w:bottom w:val="nil"/>
              <w:end w:val="nil"/>
              <w:insideH w:val="nil"/>
              <w:insideV w:val="nil"/>
            </w:tcBorders>
            <w:shd w:fill="F8EBDD" w:val="clear"/>
            <w:tcMar>
              <w:top w:w="170" w:type="dxa"/>
              <w:start w:w="220" w:type="dxa"/>
              <w:bottom w:w="170" w:type="dxa"/>
              <w:end w:w="220" w:type="dxa"/>
            </w:tcMar>
          </w:tcPr>
          <w:p>
            <w:pPr>
              <w:keepNext w:val="0"/>
              <w:spacing w:before="0" w:after="60" w:line="240" w:lineRule="auto"/>
            </w:pPr>
            <w:r>
              <w:rPr>
                <w:rFonts w:ascii="Inter" w:hAnsi="Inter" w:eastAsia="Inter"/>
                <w:b/>
                <w:color w:val="D8792D"/>
                <w:sz w:val="17"/>
              </w:rPr>
              <w:t>STAFFING DOCTRINE</w:t>
            </w:r>
          </w:p>
          <w:p>
            <w:pPr>
              <w:keepNext w:val="0"/>
              <w:spacing w:before="0" w:after="0" w:line="269" w:lineRule="auto"/>
            </w:pPr>
            <w:r>
              <w:rPr>
                <w:rFonts w:ascii="Inter Display" w:hAnsi="Inter Display" w:eastAsia="Inter Display"/>
                <w:b/>
                <w:color w:val="1F292F"/>
                <w:sz w:val="26"/>
              </w:rPr>
              <w:t>Built beside the crew, never into the staffing formula.</w:t>
            </w:r>
          </w:p>
        </w:tc>
      </w:tr>
    </w:tbl>
    <w:p>
      <w:pPr>
        <w:spacing w:after="0"/>
      </w:pPr>
    </w:p>
    <w:p>
      <w:pPr>
        <w:keepNext/>
        <w:spacing w:before="0" w:after="60" w:line="240" w:lineRule="auto"/>
      </w:pPr>
      <w:r>
        <w:rPr>
          <w:rFonts w:ascii="Inter" w:hAnsi="Inter" w:eastAsia="Inter"/>
          <w:b/>
          <w:color w:val="2F7478"/>
          <w:sz w:val="17"/>
        </w:rPr>
        <w:t>EVIDENCE STANDARD</w:t>
      </w:r>
    </w:p>
    <w:p>
      <w:pPr>
        <w:pStyle w:val="Heading1"/>
        <w:keepNext/>
      </w:pPr>
      <w:r>
        <w:rPr>
          <w:rFonts w:ascii="Inter Display" w:hAnsi="Inter Display" w:eastAsia="Inter Display"/>
          <w:b/>
          <w:color w:val="1F292F"/>
          <w:sz w:val="36"/>
        </w:rPr>
        <w:t>7. What a responsible pilot must prove</w:t>
      </w:r>
    </w:p>
    <w:p>
      <w:pPr>
        <w:keepNext w:val="0"/>
        <w:spacing w:before="0" w:after="110" w:line="271" w:lineRule="auto"/>
      </w:pPr>
      <w:r>
        <w:rPr>
          <w:rFonts w:ascii="Inter" w:hAnsi="Inter" w:eastAsia="Inter"/>
          <w:i w:val="0"/>
          <w:color w:val="22292D"/>
          <w:sz w:val="20"/>
        </w:rPr>
        <w:t>The next step is not a promise campaign. It is a responder-led measurement program. A pilot should be judged on whether it reduces workload and exposure without creating new hazards, surveillance, distraction, or staffing substitution.</w:t>
      </w:r>
      <w:r>
        <w:rPr>
          <w:rFonts w:ascii="Inter" w:hAnsi="Inter" w:eastAsia="Inter"/>
          <w:b/>
          <w:color w:val="315E77"/>
          <w:sz w:val="16"/>
        </w:rPr>
        <w:t xml:space="preserve"> [9]</w:t>
      </w:r>
    </w:p>
    <w:p>
      <w:pPr>
        <w:pStyle w:val="ListBullet"/>
        <w:keepNext w:val="0"/>
        <w:spacing w:before="0" w:after="70" w:line="259" w:lineRule="auto"/>
      </w:pPr>
      <w:r>
        <w:rPr>
          <w:rFonts w:ascii="Inter" w:hAnsi="Inter" w:eastAsia="Inter"/>
          <w:color w:val="22292D"/>
          <w:sz w:val="20"/>
        </w:rPr>
        <w:t>Time from incident activation to a verified scene update.</w:t>
      </w:r>
    </w:p>
    <w:p>
      <w:pPr>
        <w:pStyle w:val="ListBullet"/>
        <w:keepNext w:val="0"/>
        <w:spacing w:before="0" w:after="70" w:line="259" w:lineRule="auto"/>
      </w:pPr>
      <w:r>
        <w:rPr>
          <w:rFonts w:ascii="Inter" w:hAnsi="Inter" w:eastAsia="Inter"/>
          <w:color w:val="22292D"/>
          <w:sz w:val="20"/>
        </w:rPr>
        <w:t>Hazards identified before human entry, including false-positive and missed-hazard rates.</w:t>
      </w:r>
    </w:p>
    <w:p>
      <w:pPr>
        <w:pStyle w:val="ListBullet"/>
        <w:keepNext w:val="0"/>
        <w:spacing w:before="0" w:after="70" w:line="259" w:lineRule="auto"/>
      </w:pPr>
      <w:r>
        <w:rPr>
          <w:rFonts w:ascii="Inter" w:hAnsi="Inter" w:eastAsia="Inter"/>
          <w:color w:val="22292D"/>
          <w:sz w:val="20"/>
        </w:rPr>
        <w:t>Responder minutes redirected from traffic, mapping, supply, observation, or repetitive carrying to core professional work.</w:t>
      </w:r>
    </w:p>
    <w:p>
      <w:pPr>
        <w:pStyle w:val="ListBullet"/>
        <w:keepNext w:val="0"/>
        <w:spacing w:before="0" w:after="70" w:line="259" w:lineRule="auto"/>
      </w:pPr>
      <w:r>
        <w:rPr>
          <w:rFonts w:ascii="Inter" w:hAnsi="Inter" w:eastAsia="Inter"/>
          <w:color w:val="22292D"/>
          <w:sz w:val="20"/>
        </w:rPr>
        <w:t>Number, weight, distance, and terrain of equipment or supplies moved without human carrying.</w:t>
      </w:r>
    </w:p>
    <w:p>
      <w:pPr>
        <w:pStyle w:val="ListBullet"/>
        <w:keepNext w:val="0"/>
        <w:spacing w:before="0" w:after="70" w:line="259" w:lineRule="auto"/>
      </w:pPr>
      <w:r>
        <w:rPr>
          <w:rFonts w:ascii="Inter" w:hAnsi="Inter" w:eastAsia="Inter"/>
          <w:color w:val="22292D"/>
          <w:sz w:val="20"/>
        </w:rPr>
        <w:t>Communications availability and handoff success in buildings, dead zones, outages, and degraded networks.</w:t>
      </w:r>
    </w:p>
    <w:p>
      <w:pPr>
        <w:pStyle w:val="ListBullet"/>
        <w:keepNext w:val="0"/>
        <w:spacing w:before="0" w:after="70" w:line="259" w:lineRule="auto"/>
      </w:pPr>
      <w:r>
        <w:rPr>
          <w:rFonts w:ascii="Inter" w:hAnsi="Inter" w:eastAsia="Inter"/>
          <w:color w:val="22292D"/>
          <w:sz w:val="20"/>
        </w:rPr>
        <w:t>Operator workload, training time, failure recovery, and whether the system creates a new supervision burden.</w:t>
      </w:r>
    </w:p>
    <w:p>
      <w:pPr>
        <w:pStyle w:val="ListBullet"/>
        <w:keepNext w:val="0"/>
        <w:spacing w:before="0" w:after="70" w:line="259" w:lineRule="auto"/>
      </w:pPr>
      <w:r>
        <w:rPr>
          <w:rFonts w:ascii="Inter" w:hAnsi="Inter" w:eastAsia="Inter"/>
          <w:color w:val="22292D"/>
          <w:sz w:val="20"/>
        </w:rPr>
        <w:t>Near misses, injuries, contamination events, and unsafe physical interventions.</w:t>
      </w:r>
    </w:p>
    <w:p>
      <w:pPr>
        <w:pStyle w:val="ListBullet"/>
        <w:keepNext w:val="0"/>
        <w:spacing w:before="0" w:after="70" w:line="259" w:lineRule="auto"/>
      </w:pPr>
      <w:r>
        <w:rPr>
          <w:rFonts w:ascii="Inter" w:hAnsi="Inter" w:eastAsia="Inter"/>
          <w:color w:val="22292D"/>
          <w:sz w:val="20"/>
        </w:rPr>
        <w:t>Responder trust, patient acceptance, privacy performance, and the reliability of visible recording indicators and deletion rules.</w:t>
      </w:r>
    </w:p>
    <w:p>
      <w:pPr>
        <w:keepNext w:val="0"/>
        <w:spacing w:before="0" w:after="160" w:line="271" w:lineRule="auto"/>
      </w:pPr>
      <w:r>
        <w:rPr>
          <w:rFonts w:ascii="Inter" w:hAnsi="Inter" w:eastAsia="Inter"/>
          <w:i w:val="0"/>
          <w:color w:val="22292D"/>
          <w:sz w:val="20"/>
        </w:rPr>
        <w:t>The need case is strong enough to justify prototyping. It is not strong enough to skip certification, procurement discipline, field testing, or human command. That is not a brake on the vision. It is how the vision earns a place beside people whose mistakes are measured in lives.</w:t>
      </w:r>
      <w:r>
        <w:rPr>
          <w:rFonts w:ascii="Inter" w:hAnsi="Inter" w:eastAsia="Inter"/>
          <w:b/>
          <w:color w:val="315E77"/>
          <w:sz w:val="16"/>
        </w:rPr>
        <w:t xml:space="preserve"> [9]</w:t>
      </w:r>
    </w:p>
    <w:p>
      <w:pPr>
        <w:keepNext/>
        <w:spacing w:before="0" w:after="60" w:line="240" w:lineRule="auto"/>
      </w:pPr>
      <w:r>
        <w:rPr>
          <w:rFonts w:ascii="Inter" w:hAnsi="Inter" w:eastAsia="Inter"/>
          <w:b/>
          <w:color w:val="2F7478"/>
          <w:sz w:val="17"/>
        </w:rPr>
        <w:t>RESEARCH INTEGRITY</w:t>
      </w:r>
    </w:p>
    <w:p>
      <w:pPr>
        <w:pStyle w:val="Heading1"/>
        <w:keepNext/>
      </w:pPr>
      <w:r>
        <w:rPr>
          <w:rFonts w:ascii="Inter Display" w:hAnsi="Inter Display" w:eastAsia="Inter Display"/>
          <w:b/>
          <w:color w:val="1F292F"/>
          <w:sz w:val="36"/>
        </w:rPr>
        <w:t>Scope and method note</w:t>
      </w:r>
    </w:p>
    <w:p>
      <w:pPr>
        <w:keepNext w:val="0"/>
        <w:spacing w:before="0" w:after="110" w:line="271" w:lineRule="auto"/>
      </w:pPr>
      <w:r>
        <w:rPr>
          <w:rFonts w:ascii="Inter" w:hAnsi="Inter" w:eastAsia="Inter"/>
          <w:i w:val="0"/>
          <w:color w:val="22292D"/>
          <w:sz w:val="20"/>
        </w:rPr>
        <w:t>Intended geographic scope is the 48 contiguous states. The strongest long-run fire and EMS sources publish U.S. totals without a consistent 48-state exclusion. Alaska and Hawaii therefore cannot be removed from every national series. Territories are not knowingly mixed into the core comparisons. This limitation is stated rather than hidden.</w:t>
      </w:r>
    </w:p>
    <w:p>
      <w:pPr>
        <w:keepNext w:val="0"/>
        <w:spacing w:before="0" w:after="110" w:line="271" w:lineRule="auto"/>
      </w:pPr>
      <w:r>
        <w:rPr>
          <w:rFonts w:ascii="Inter" w:hAnsi="Inter" w:eastAsia="Inter"/>
          <w:i w:val="0"/>
          <w:color w:val="22292D"/>
          <w:sz w:val="20"/>
        </w:rPr>
        <w:t>This brief intentionally selects research relevant to the need for assistive field support, but it does not hide contrary context. Paid EMS and career-fire employment have not shown a general 20-year national collapse. The need case rests on demand, volunteer decline, replacement pressure, injury, violence, and operational exposure.</w:t>
      </w:r>
    </w:p>
    <w:p>
      <w:pPr>
        <w:keepNext w:val="0"/>
        <w:spacing w:before="0" w:after="110" w:line="271" w:lineRule="auto"/>
      </w:pPr>
      <w:r>
        <w:rPr>
          <w:rFonts w:ascii="Inter" w:hAnsi="Inter" w:eastAsia="Inter"/>
          <w:i w:val="0"/>
          <w:color w:val="22292D"/>
          <w:sz w:val="20"/>
        </w:rPr>
        <w:t>All percentages labeled as changes were calculated from the cited source endpoints. Survey and cohort findings are described with their major limitations. No source is used to claim that Project Urael has already improved outcomes.</w:t>
      </w:r>
    </w:p>
    <w:p>
      <w:pPr>
        <w:keepNext/>
        <w:spacing w:before="0" w:after="60" w:line="240" w:lineRule="auto"/>
      </w:pPr>
      <w:r>
        <w:rPr>
          <w:rFonts w:ascii="Inter" w:hAnsi="Inter" w:eastAsia="Inter"/>
          <w:b/>
          <w:color w:val="2F7478"/>
          <w:sz w:val="17"/>
        </w:rPr>
        <w:t>SELECTED RESEARCH AND OFFICIAL DATA</w:t>
      </w:r>
    </w:p>
    <w:p>
      <w:pPr>
        <w:pStyle w:val="Heading1"/>
        <w:keepNext/>
      </w:pPr>
      <w:r>
        <w:rPr>
          <w:rFonts w:ascii="Inter Display" w:hAnsi="Inter Display" w:eastAsia="Inter Display"/>
          <w:b/>
          <w:color w:val="1F292F"/>
          <w:sz w:val="36"/>
        </w:rPr>
        <w:t>Sources</w:t>
      </w:r>
    </w:p>
    <w:p>
      <w:pPr>
        <w:keepNext w:val="0"/>
        <w:spacing w:before="0" w:after="90" w:line="252" w:lineRule="auto"/>
      </w:pPr>
      <w:r>
        <w:rPr>
          <w:rFonts w:ascii="Inter" w:hAnsi="Inter" w:eastAsia="Inter"/>
          <w:b/>
          <w:color w:val="D8792D"/>
          <w:sz w:val="17"/>
        </w:rPr>
        <w:t xml:space="preserve">[1] </w:t>
      </w:r>
      <w:r>
        <w:rPr>
          <w:rFonts w:ascii="Inter" w:hAnsi="Inter" w:eastAsia="Inter"/>
          <w:b/>
          <w:color w:val="22292D"/>
          <w:sz w:val="17"/>
        </w:rPr>
        <w:t xml:space="preserve">Fire Department Calls. </w:t>
      </w:r>
      <w:r>
        <w:rPr>
          <w:rFonts w:ascii="Inter" w:hAnsi="Inter" w:eastAsia="Inter"/>
          <w:color w:val="22292D"/>
          <w:sz w:val="17"/>
        </w:rPr>
        <w:t xml:space="preserve">National Fire Protection Association. Annual U.S. call table through 2024. </w:t>
      </w:r>
      <w:hyperlink r:id="rId11">
        <w:r>
          <w:rPr>
            <w:rFonts w:ascii="Inter" w:hAnsi="Inter"/>
            <w:color w:val="315E77"/>
            <w:sz w:val="17"/>
            <w:u w:val="single"/>
          </w:rPr>
          <w:t>Source</w:t>
        </w:r>
      </w:hyperlink>
    </w:p>
    <w:p>
      <w:pPr>
        <w:keepNext w:val="0"/>
        <w:spacing w:before="0" w:after="90" w:line="252" w:lineRule="auto"/>
      </w:pPr>
      <w:r>
        <w:rPr>
          <w:rFonts w:ascii="Inter" w:hAnsi="Inter" w:eastAsia="Inter"/>
          <w:b/>
          <w:color w:val="D8792D"/>
          <w:sz w:val="17"/>
        </w:rPr>
        <w:t xml:space="preserve">[2] </w:t>
      </w:r>
      <w:r>
        <w:rPr>
          <w:rFonts w:ascii="Inter" w:hAnsi="Inter" w:eastAsia="Inter"/>
          <w:b/>
          <w:color w:val="22292D"/>
          <w:sz w:val="17"/>
        </w:rPr>
        <w:t xml:space="preserve">Number of Firefighters in the U.S.. </w:t>
      </w:r>
      <w:r>
        <w:rPr>
          <w:rFonts w:ascii="Inter" w:hAnsi="Inter" w:eastAsia="Inter"/>
          <w:color w:val="22292D"/>
          <w:sz w:val="17"/>
        </w:rPr>
        <w:t xml:space="preserve">National Fire Protection Association. Annual career, volunteer, total, and population-rate table through 2023. </w:t>
      </w:r>
      <w:hyperlink r:id="rId12">
        <w:r>
          <w:rPr>
            <w:rFonts w:ascii="Inter" w:hAnsi="Inter"/>
            <w:color w:val="315E77"/>
            <w:sz w:val="17"/>
            <w:u w:val="single"/>
          </w:rPr>
          <w:t>Source</w:t>
        </w:r>
      </w:hyperlink>
    </w:p>
    <w:p>
      <w:pPr>
        <w:keepNext w:val="0"/>
        <w:spacing w:before="0" w:after="90" w:line="252" w:lineRule="auto"/>
      </w:pPr>
      <w:r>
        <w:rPr>
          <w:rFonts w:ascii="Inter" w:hAnsi="Inter" w:eastAsia="Inter"/>
          <w:b/>
          <w:color w:val="D8792D"/>
          <w:sz w:val="17"/>
        </w:rPr>
        <w:t xml:space="preserve">[3] </w:t>
      </w:r>
      <w:r>
        <w:rPr>
          <w:rFonts w:ascii="Inter" w:hAnsi="Inter" w:eastAsia="Inter"/>
          <w:b/>
          <w:color w:val="22292D"/>
          <w:sz w:val="17"/>
        </w:rPr>
        <w:t xml:space="preserve">EMTs and Paramedics. </w:t>
      </w:r>
      <w:r>
        <w:rPr>
          <w:rFonts w:ascii="Inter" w:hAnsi="Inter" w:eastAsia="Inter"/>
          <w:color w:val="22292D"/>
          <w:sz w:val="17"/>
        </w:rPr>
        <w:t xml:space="preserve">U.S. Bureau of Labor Statistics, Occupational Outlook Handbook. Employment, work environment, injuries, and 2024-2034 projections. </w:t>
      </w:r>
      <w:hyperlink r:id="rId13">
        <w:r>
          <w:rPr>
            <w:rFonts w:ascii="Inter" w:hAnsi="Inter"/>
            <w:color w:val="315E77"/>
            <w:sz w:val="17"/>
            <w:u w:val="single"/>
          </w:rPr>
          <w:t>Source</w:t>
        </w:r>
      </w:hyperlink>
    </w:p>
    <w:p>
      <w:pPr>
        <w:keepNext w:val="0"/>
        <w:spacing w:before="0" w:after="90" w:line="252" w:lineRule="auto"/>
      </w:pPr>
      <w:r>
        <w:rPr>
          <w:rFonts w:ascii="Inter" w:hAnsi="Inter" w:eastAsia="Inter"/>
          <w:b/>
          <w:color w:val="D8792D"/>
          <w:sz w:val="17"/>
        </w:rPr>
        <w:t xml:space="preserve">[4] </w:t>
      </w:r>
      <w:r>
        <w:rPr>
          <w:rFonts w:ascii="Inter" w:hAnsi="Inter" w:eastAsia="Inter"/>
          <w:b/>
          <w:color w:val="22292D"/>
          <w:sz w:val="17"/>
        </w:rPr>
        <w:t xml:space="preserve">Firefighters. </w:t>
      </w:r>
      <w:r>
        <w:rPr>
          <w:rFonts w:ascii="Inter" w:hAnsi="Inter" w:eastAsia="Inter"/>
          <w:color w:val="22292D"/>
          <w:sz w:val="17"/>
        </w:rPr>
        <w:t xml:space="preserve">U.S. Bureau of Labor Statistics, Occupational Outlook Handbook. Employment, work environment, injuries, and 2024-2034 projections. </w:t>
      </w:r>
      <w:hyperlink r:id="rId14">
        <w:r>
          <w:rPr>
            <w:rFonts w:ascii="Inter" w:hAnsi="Inter"/>
            <w:color w:val="315E77"/>
            <w:sz w:val="17"/>
            <w:u w:val="single"/>
          </w:rPr>
          <w:t>Source</w:t>
        </w:r>
      </w:hyperlink>
    </w:p>
    <w:p>
      <w:pPr>
        <w:keepNext w:val="0"/>
        <w:spacing w:before="0" w:after="90" w:line="252" w:lineRule="auto"/>
      </w:pPr>
      <w:r>
        <w:rPr>
          <w:rFonts w:ascii="Inter" w:hAnsi="Inter" w:eastAsia="Inter"/>
          <w:b/>
          <w:color w:val="D8792D"/>
          <w:sz w:val="17"/>
        </w:rPr>
        <w:t xml:space="preserve">[5] </w:t>
      </w:r>
      <w:r>
        <w:rPr>
          <w:rFonts w:ascii="Inter" w:hAnsi="Inter" w:eastAsia="Inter"/>
          <w:b/>
          <w:color w:val="22292D"/>
          <w:sz w:val="17"/>
        </w:rPr>
        <w:t xml:space="preserve">Occupational Injuries and Exposures among Emergency Medical Services Workers. </w:t>
      </w:r>
      <w:r>
        <w:rPr>
          <w:rFonts w:ascii="Inter" w:hAnsi="Inter" w:eastAsia="Inter"/>
          <w:color w:val="22292D"/>
          <w:sz w:val="17"/>
        </w:rPr>
        <w:t xml:space="preserve">Reichard AA, Marsh SM, Tonozzi TR, Konda S, Gormley MA. Prehospital Emergency Care. 2017;21(4):420-431. DOI 10.1080/10903127.2016.1274350. </w:t>
      </w:r>
      <w:hyperlink r:id="rId15">
        <w:r>
          <w:rPr>
            <w:rFonts w:ascii="Inter" w:hAnsi="Inter"/>
            <w:color w:val="315E77"/>
            <w:sz w:val="17"/>
            <w:u w:val="single"/>
          </w:rPr>
          <w:t>Source</w:t>
        </w:r>
      </w:hyperlink>
    </w:p>
    <w:p>
      <w:pPr>
        <w:keepNext w:val="0"/>
        <w:spacing w:before="0" w:after="90" w:line="252" w:lineRule="auto"/>
      </w:pPr>
      <w:r>
        <w:rPr>
          <w:rFonts w:ascii="Inter" w:hAnsi="Inter" w:eastAsia="Inter"/>
          <w:b/>
          <w:color w:val="D8792D"/>
          <w:sz w:val="17"/>
        </w:rPr>
        <w:t xml:space="preserve">[6] </w:t>
      </w:r>
      <w:r>
        <w:rPr>
          <w:rFonts w:ascii="Inter" w:hAnsi="Inter" w:eastAsia="Inter"/>
          <w:b/>
          <w:color w:val="22292D"/>
          <w:sz w:val="17"/>
        </w:rPr>
        <w:t xml:space="preserve">U.S. Firefighter Injuries in 2024. </w:t>
      </w:r>
      <w:r>
        <w:rPr>
          <w:rFonts w:ascii="Inter" w:hAnsi="Inter" w:eastAsia="Inter"/>
          <w:color w:val="22292D"/>
          <w:sz w:val="17"/>
        </w:rPr>
        <w:t xml:space="preserve">National Fire Protection Association. Estimated line-of-duty injuries and leading injury causes. </w:t>
      </w:r>
      <w:hyperlink r:id="rId16">
        <w:r>
          <w:rPr>
            <w:rFonts w:ascii="Inter" w:hAnsi="Inter"/>
            <w:color w:val="315E77"/>
            <w:sz w:val="17"/>
            <w:u w:val="single"/>
          </w:rPr>
          <w:t>Source</w:t>
        </w:r>
      </w:hyperlink>
    </w:p>
    <w:p>
      <w:pPr>
        <w:keepNext w:val="0"/>
        <w:spacing w:before="0" w:after="90" w:line="252" w:lineRule="auto"/>
      </w:pPr>
      <w:r>
        <w:rPr>
          <w:rFonts w:ascii="Inter" w:hAnsi="Inter" w:eastAsia="Inter"/>
          <w:b/>
          <w:color w:val="D8792D"/>
          <w:sz w:val="17"/>
        </w:rPr>
        <w:t xml:space="preserve">[7] </w:t>
      </w:r>
      <w:r>
        <w:rPr>
          <w:rFonts w:ascii="Inter" w:hAnsi="Inter" w:eastAsia="Inter"/>
          <w:b/>
          <w:color w:val="22292D"/>
          <w:sz w:val="17"/>
        </w:rPr>
        <w:t xml:space="preserve">Workplace Violence Against EMS: A Prospective 12-Month Cohort Study. </w:t>
      </w:r>
      <w:r>
        <w:rPr>
          <w:rFonts w:ascii="Inter" w:hAnsi="Inter" w:eastAsia="Inter"/>
          <w:color w:val="22292D"/>
          <w:sz w:val="17"/>
        </w:rPr>
        <w:t xml:space="preserve">McGuire SS et al.. Prehospital Emergency Care. 2025;29(6):760-767. DOI 10.1080/10903127.2024.2411020. </w:t>
      </w:r>
      <w:hyperlink r:id="rId17">
        <w:r>
          <w:rPr>
            <w:rFonts w:ascii="Inter" w:hAnsi="Inter"/>
            <w:color w:val="315E77"/>
            <w:sz w:val="17"/>
            <w:u w:val="single"/>
          </w:rPr>
          <w:t>Source</w:t>
        </w:r>
      </w:hyperlink>
    </w:p>
    <w:p>
      <w:pPr>
        <w:keepNext w:val="0"/>
        <w:spacing w:before="0" w:after="90" w:line="252" w:lineRule="auto"/>
      </w:pPr>
      <w:r>
        <w:rPr>
          <w:rFonts w:ascii="Inter" w:hAnsi="Inter" w:eastAsia="Inter"/>
          <w:b/>
          <w:color w:val="D8792D"/>
          <w:sz w:val="17"/>
        </w:rPr>
        <w:t xml:space="preserve">[8] </w:t>
      </w:r>
      <w:r>
        <w:rPr>
          <w:rFonts w:ascii="Inter" w:hAnsi="Inter" w:eastAsia="Inter"/>
          <w:b/>
          <w:color w:val="22292D"/>
          <w:sz w:val="17"/>
        </w:rPr>
        <w:t xml:space="preserve">Factors Associated With Emergency Medical Clinicians Leaving EMS. </w:t>
      </w:r>
      <w:r>
        <w:rPr>
          <w:rFonts w:ascii="Inter" w:hAnsi="Inter" w:eastAsia="Inter"/>
          <w:color w:val="22292D"/>
          <w:sz w:val="17"/>
        </w:rPr>
        <w:t xml:space="preserve">Gage CB et al.. Prehospital Emergency Care. 2025;29(7):1008-1014. DOI 10.1080/10903127.2024.2436047. </w:t>
      </w:r>
      <w:hyperlink r:id="rId18">
        <w:r>
          <w:rPr>
            <w:rFonts w:ascii="Inter" w:hAnsi="Inter"/>
            <w:color w:val="315E77"/>
            <w:sz w:val="17"/>
            <w:u w:val="single"/>
          </w:rPr>
          <w:t>Source</w:t>
        </w:r>
      </w:hyperlink>
    </w:p>
    <w:p>
      <w:pPr>
        <w:keepNext w:val="0"/>
        <w:spacing w:before="0" w:after="90" w:line="252" w:lineRule="auto"/>
      </w:pPr>
      <w:r>
        <w:rPr>
          <w:rFonts w:ascii="Inter" w:hAnsi="Inter" w:eastAsia="Inter"/>
          <w:b/>
          <w:color w:val="D8792D"/>
          <w:sz w:val="17"/>
        </w:rPr>
        <w:t xml:space="preserve">[9] </w:t>
      </w:r>
      <w:r>
        <w:rPr>
          <w:rFonts w:ascii="Inter" w:hAnsi="Inter" w:eastAsia="Inter"/>
          <w:b/>
          <w:color w:val="22292D"/>
          <w:sz w:val="17"/>
        </w:rPr>
        <w:t xml:space="preserve">Performance of Emergency Response Robots. </w:t>
      </w:r>
      <w:r>
        <w:rPr>
          <w:rFonts w:ascii="Inter" w:hAnsi="Inter" w:eastAsia="Inter"/>
          <w:color w:val="22292D"/>
          <w:sz w:val="17"/>
        </w:rPr>
        <w:t xml:space="preserve">National Institute of Standards and Technology. Responder-defined missions, standoff deployment, cognitive-load reduction, reliability, and test standards. </w:t>
      </w:r>
      <w:hyperlink r:id="rId19">
        <w:r>
          <w:rPr>
            <w:rFonts w:ascii="Inter" w:hAnsi="Inter"/>
            <w:color w:val="315E77"/>
            <w:sz w:val="17"/>
            <w:u w:val="single"/>
          </w:rPr>
          <w:t>Source</w:t>
        </w:r>
      </w:hyperlink>
    </w:p>
    <w:p>
      <w:pPr>
        <w:keepNext w:val="0"/>
        <w:spacing w:before="0" w:after="90" w:line="252" w:lineRule="auto"/>
      </w:pPr>
      <w:r>
        <w:rPr>
          <w:rFonts w:ascii="Inter" w:hAnsi="Inter" w:eastAsia="Inter"/>
          <w:b/>
          <w:color w:val="D8792D"/>
          <w:sz w:val="17"/>
        </w:rPr>
        <w:t xml:space="preserve">[10] </w:t>
      </w:r>
      <w:r>
        <w:rPr>
          <w:rFonts w:ascii="Inter" w:hAnsi="Inter" w:eastAsia="Inter"/>
          <w:b/>
          <w:color w:val="22292D"/>
          <w:sz w:val="17"/>
        </w:rPr>
        <w:t xml:space="preserve">EMERG-ing Data: Multi-city Surveillance of Workplace Violence Against EMS Responders. </w:t>
      </w:r>
      <w:r>
        <w:rPr>
          <w:rFonts w:ascii="Inter" w:hAnsi="Inter" w:eastAsia="Inter"/>
          <w:color w:val="22292D"/>
          <w:sz w:val="17"/>
        </w:rPr>
        <w:t xml:space="preserve">Taylor JA et al.. Journal of Safety Research. 2023;86:62-79. DOI 10.1016/j.jsr.2023.06.008. </w:t>
      </w:r>
      <w:hyperlink r:id="rId20">
        <w:r>
          <w:rPr>
            <w:rFonts w:ascii="Inter" w:hAnsi="Inter"/>
            <w:color w:val="315E77"/>
            <w:sz w:val="17"/>
            <w:u w:val="single"/>
          </w:rPr>
          <w:t>Source</w:t>
        </w:r>
      </w:hyperlink>
    </w:p>
    <w:p>
      <w:pPr>
        <w:keepNext w:val="0"/>
        <w:spacing w:before="120" w:after="0" w:line="252" w:lineRule="auto"/>
      </w:pPr>
      <w:r>
        <w:rPr>
          <w:rFonts w:ascii="Inter" w:hAnsi="Inter" w:eastAsia="Inter"/>
          <w:i/>
          <w:color w:val="667078"/>
          <w:sz w:val="15"/>
        </w:rPr>
        <w:t>Document boundary: This public brief excludes protected implementation details, agent-assignment logic, machine protocols, sensitive emergency mechanics, and the founder-controlled invention register. Those remain in the separate proprietary architecture packet.</w:t>
      </w:r>
    </w:p>
    <w:sectPr w:rsidR="00FC693F" w:rsidRPr="0006063C" w:rsidSect="00034616">
      <w:headerReference w:type="default" r:id="rId9"/>
      <w:footerReference w:type="default" r:id="rId10"/>
      <w:pgSz w:w="12240" w:h="15840"/>
      <w:pgMar w:top="936" w:right="979" w:bottom="936" w:left="979"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5040"/>
      <w:gridCol w:w="5040"/>
    </w:tblGrid>
    <w:tr>
      <w:tc>
        <w:tcPr>
          <w:tcW w:type="dxa" w:w="5040"/>
          <w:tcBorders>
            <w:top w:val="nil"/>
            <w:start w:val="nil"/>
            <w:bottom w:val="nil"/>
            <w:end w:val="nil"/>
            <w:insideH w:val="nil"/>
            <w:insideV w:val="nil"/>
          </w:tcBorders>
        </w:tcPr>
        <w:p>
          <w:pPr>
            <w:keepNext w:val="0"/>
            <w:spacing w:before="0" w:after="0" w:line="240" w:lineRule="auto"/>
          </w:pPr>
          <w:r>
            <w:rPr>
              <w:rFonts w:ascii="Inter" w:hAnsi="Inter" w:eastAsia="Inter"/>
              <w:b/>
              <w:color w:val="667078"/>
              <w:sz w:val="15"/>
            </w:rPr>
            <w:t>PROJECT URAEL  |  22 AUGUST 2026</w:t>
          </w:r>
        </w:p>
      </w:tc>
      <w:tc>
        <w:tcPr>
          <w:tcW w:type="dxa" w:w="5040"/>
          <w:tcBorders>
            <w:top w:val="nil"/>
            <w:start w:val="nil"/>
            <w:bottom w:val="nil"/>
            <w:end w:val="nil"/>
            <w:insideH w:val="nil"/>
            <w:insideV w:val="nil"/>
          </w:tcBorders>
        </w:tcPr>
        <w:p>
          <w:pPr>
            <w:jc w:val="right"/>
          </w:pPr>
          <w:r>
            <w:rPr>
              <w:rFonts w:ascii="Inter" w:hAnsi="Inter" w:eastAsia="Inter"/>
              <w:color w:val="667078"/>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spacing w:before="0" w:after="40" w:line="240" w:lineRule="auto"/>
      <w:jc w:val="left"/>
      <w:pBdr>
        <w:bottom w:val="single" w:sz="8" w:space="3" w:color="D8792D"/>
      </w:pBdr>
    </w:pPr>
    <w:r>
      <w:rPr>
        <w:rFonts w:ascii="Inter" w:hAnsi="Inter" w:eastAsia="Inter"/>
        <w:b/>
        <w:color w:val="1F292F"/>
        <w:sz w:val="16"/>
      </w:rPr>
      <w:t>RESPONDER NEED &amp; EVIDENCE BRIEF</w:t>
    </w:r>
    <w:r>
      <w:rPr>
        <w:rFonts w:ascii="Inter" w:hAnsi="Inter" w:eastAsia="Inter"/>
        <w:b/>
        <w:color w:val="D8792D"/>
        <w:sz w:val="15"/>
      </w:rPr>
      <w:t xml:space="preserve">   |   PUBLIC / PARTNER-FACING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Inter" w:hAnsi="Inter"/>
      <w:color w:val="22292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Inter Display" w:hAnsi="Inter Display"/>
      <w:b/>
      <w:bCs/>
      <w:color w:val="1F292F"/>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Inter Display" w:hAnsi="Inter Display"/>
      <w:b/>
      <w:bCs/>
      <w:color w:val="2F7478"/>
      <w:sz w:val="25"/>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Inter Display" w:hAnsi="Inter Display"/>
      <w:b/>
      <w:bCs/>
      <w:color w:val="D8792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80"/>
      <w:contextualSpacing/>
    </w:pPr>
    <w:rPr>
      <w:rFonts w:asciiTheme="majorHAnsi" w:eastAsiaTheme="majorEastAsia" w:hAnsiTheme="majorHAnsi" w:cstheme="majorBidi" w:ascii="Inter Display" w:hAnsi="Inter Display"/>
      <w:b/>
      <w:color w:val="1F292F"/>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360" w:hanging="173"/>
      <w:contextualSpacing/>
    </w:pPr>
    <w:rPr>
      <w:rFonts w:ascii="Inter" w:hAnsi="Inter"/>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fpa.org/education-and-research/research/nfpa-research/fire-statistical-reports/fire-department-calls" TargetMode="External"/><Relationship Id="rId12" Type="http://schemas.openxmlformats.org/officeDocument/2006/relationships/hyperlink" Target="https://www.nfpa.org/education-and-research/research/nfpa-research/fire-statistical-reports/number-of-firefighters-in-the-us" TargetMode="External"/><Relationship Id="rId13" Type="http://schemas.openxmlformats.org/officeDocument/2006/relationships/hyperlink" Target="https://www.bls.gov/ooh/healthcare/emts-and-paramedics.htm" TargetMode="External"/><Relationship Id="rId14" Type="http://schemas.openxmlformats.org/officeDocument/2006/relationships/hyperlink" Target="https://www.bls.gov/ooh/protective-service/firefighters.htm" TargetMode="External"/><Relationship Id="rId15" Type="http://schemas.openxmlformats.org/officeDocument/2006/relationships/hyperlink" Target="https://stacks.cdc.gov/view/cdc/203748" TargetMode="External"/><Relationship Id="rId16" Type="http://schemas.openxmlformats.org/officeDocument/2006/relationships/hyperlink" Target="https://www.nfpa.org/news-blogs-and-articles/nfpa-journal/2026/02/12/us-firefighter-injuries-2024" TargetMode="External"/><Relationship Id="rId17" Type="http://schemas.openxmlformats.org/officeDocument/2006/relationships/hyperlink" Target="https://pubmed.ncbi.nlm.nih.gov/39356230/" TargetMode="External"/><Relationship Id="rId18" Type="http://schemas.openxmlformats.org/officeDocument/2006/relationships/hyperlink" Target="https://pubmed.ncbi.nlm.nih.gov/39630149/" TargetMode="External"/><Relationship Id="rId19" Type="http://schemas.openxmlformats.org/officeDocument/2006/relationships/hyperlink" Target="https://www.nist.gov/programs-projects/performance-emergency-response-robots" TargetMode="External"/><Relationship Id="rId20" Type="http://schemas.openxmlformats.org/officeDocument/2006/relationships/hyperlink" Target="https://pmc.ncbi.nlm.nih.gov/articles/PMC10621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Urael: First-Responder Need &amp; Evidence Brief</dc:title>
  <dc:subject>Evidence companion documenting responder workload, injury, violence, and assistive field-support need.</dc:subject>
  <dc:creator>Tony Collins</dc:creator>
  <cp:keywords>Project Urael; first responders; EMS; firefighters; responder safety; assistive field support</cp:keywords>
  <dc:description>Non-proprietary public and partner-facing brief.</dc:description>
  <cp:lastModifiedBy>Tony Collins</cp:lastModifiedBy>
  <cp:revision>1</cp:revision>
  <dcterms:created xsi:type="dcterms:W3CDTF">2013-12-23T23:15:00Z</dcterms:created>
  <dcterms:modified xsi:type="dcterms:W3CDTF">2013-12-23T23:15:00Z</dcterms:modified>
  <cp:category/>
</cp:coreProperties>
</file>